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4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2"/>
        <w:gridCol w:w="3049"/>
        <w:gridCol w:w="720"/>
        <w:gridCol w:w="2959"/>
        <w:tblGridChange w:id="0">
          <w:tblGrid>
            <w:gridCol w:w="2622"/>
            <w:gridCol w:w="3049"/>
            <w:gridCol w:w="720"/>
            <w:gridCol w:w="2959"/>
          </w:tblGrid>
        </w:tblGridChange>
      </w:tblGrid>
      <w:tr>
        <w:trPr>
          <w:cantSplit w:val="1"/>
          <w:tblHeader w:val="0"/>
        </w:trPr>
        <w:tc>
          <w:tcPr>
            <w:gridSpan w:val="4"/>
          </w:tcPr>
          <w:p w:rsidR="00000000" w:rsidDel="00000000" w:rsidP="00000000" w:rsidRDefault="00000000" w:rsidRPr="00000000" w14:paraId="00000002">
            <w:pPr>
              <w:spacing w:after="60" w:before="60" w:lineRule="auto"/>
              <w:jc w:val="center"/>
              <w:rPr>
                <w:b w:val="1"/>
              </w:rPr>
            </w:pPr>
            <w:r w:rsidDel="00000000" w:rsidR="00000000" w:rsidRPr="00000000">
              <w:rPr>
                <w:rtl w:val="0"/>
              </w:rPr>
              <w:t xml:space="preserve"> </w:t>
            </w:r>
            <w:r w:rsidDel="00000000" w:rsidR="00000000" w:rsidRPr="00000000">
              <w:rPr>
                <w:b w:val="1"/>
                <w:rtl w:val="0"/>
              </w:rPr>
              <w:t xml:space="preserve">Guide for Review of Financial Management and Audits</w:t>
            </w:r>
          </w:p>
        </w:tc>
      </w:tr>
      <w:tr>
        <w:trPr>
          <w:cantSplit w:val="1"/>
          <w:tblHeader w:val="0"/>
        </w:trPr>
        <w:tc>
          <w:tcPr>
            <w:gridSpan w:val="4"/>
          </w:tcPr>
          <w:p w:rsidR="00000000" w:rsidDel="00000000" w:rsidP="00000000" w:rsidRDefault="00000000" w:rsidRPr="00000000" w14:paraId="00000006">
            <w:pPr>
              <w:spacing w:after="60" w:before="60" w:lineRule="auto"/>
              <w:rPr/>
            </w:pPr>
            <w:r w:rsidDel="00000000" w:rsidR="00000000" w:rsidRPr="00000000">
              <w:rPr>
                <w:rtl w:val="0"/>
              </w:rPr>
              <w:t xml:space="preserve">Name of Recipient: </w:t>
            </w:r>
            <w:bookmarkStart w:colFirst="0" w:colLast="0" w:name="bookmark=id.gjdgxs" w:id="0"/>
            <w:bookmarkEnd w:id="0"/>
            <w:r w:rsidDel="00000000" w:rsidR="00000000" w:rsidRPr="00000000">
              <w:rPr>
                <w:rtl w:val="0"/>
              </w:rPr>
              <w:t xml:space="preserve">    </w:t>
            </w:r>
          </w:p>
        </w:tc>
      </w:tr>
      <w:tr>
        <w:trPr>
          <w:cantSplit w:val="1"/>
          <w:tblHeader w:val="0"/>
        </w:trPr>
        <w:tc>
          <w:tcPr>
            <w:gridSpan w:val="4"/>
          </w:tcPr>
          <w:p w:rsidR="00000000" w:rsidDel="00000000" w:rsidP="00000000" w:rsidRDefault="00000000" w:rsidRPr="00000000" w14:paraId="0000000A">
            <w:pPr>
              <w:spacing w:after="60" w:before="60" w:lineRule="auto"/>
              <w:rPr/>
            </w:pPr>
            <w:r w:rsidDel="00000000" w:rsidR="00000000" w:rsidRPr="00000000">
              <w:rPr>
                <w:rtl w:val="0"/>
              </w:rPr>
              <w:t xml:space="preserve">Name of Subrecipient (if applicable):      </w:t>
            </w:r>
          </w:p>
        </w:tc>
      </w:tr>
      <w:tr>
        <w:trPr>
          <w:cantSplit w:val="1"/>
          <w:tblHeader w:val="0"/>
        </w:trPr>
        <w:tc>
          <w:tcPr>
            <w:gridSpan w:val="4"/>
          </w:tcPr>
          <w:p w:rsidR="00000000" w:rsidDel="00000000" w:rsidP="00000000" w:rsidRDefault="00000000" w:rsidRPr="00000000" w14:paraId="0000000E">
            <w:pPr>
              <w:spacing w:after="60" w:before="60" w:lineRule="auto"/>
              <w:rPr/>
            </w:pPr>
            <w:r w:rsidDel="00000000" w:rsidR="00000000" w:rsidRPr="00000000">
              <w:rPr>
                <w:rtl w:val="0"/>
              </w:rPr>
              <w:t xml:space="preserve">Name of Program(s) Monitored:      </w:t>
            </w:r>
          </w:p>
        </w:tc>
      </w:tr>
      <w:tr>
        <w:trPr>
          <w:cantSplit w:val="1"/>
          <w:tblHeader w:val="0"/>
        </w:trPr>
        <w:tc>
          <w:tcPr>
            <w:gridSpan w:val="4"/>
          </w:tcPr>
          <w:p w:rsidR="00000000" w:rsidDel="00000000" w:rsidP="00000000" w:rsidRDefault="00000000" w:rsidRPr="00000000" w14:paraId="00000012">
            <w:pPr>
              <w:spacing w:after="60" w:before="60" w:lineRule="auto"/>
              <w:rPr/>
            </w:pPr>
            <w:r w:rsidDel="00000000" w:rsidR="00000000" w:rsidRPr="00000000">
              <w:rPr>
                <w:rtl w:val="0"/>
              </w:rPr>
              <w:t xml:space="preserve">Staff Consulted:</w:t>
            </w:r>
            <w:bookmarkStart w:colFirst="0" w:colLast="0" w:name="bookmark=id.30j0zll" w:id="1"/>
            <w:bookmarkEnd w:id="1"/>
            <w:r w:rsidDel="00000000" w:rsidR="00000000" w:rsidRPr="00000000">
              <w:rPr>
                <w:rtl w:val="0"/>
              </w:rPr>
              <w:t xml:space="preserve">     </w:t>
            </w:r>
          </w:p>
        </w:tc>
      </w:tr>
      <w:tr>
        <w:trPr>
          <w:cantSplit w:val="0"/>
          <w:tblHeader w:val="0"/>
        </w:trPr>
        <w:tc>
          <w:tcPr/>
          <w:p w:rsidR="00000000" w:rsidDel="00000000" w:rsidP="00000000" w:rsidRDefault="00000000" w:rsidRPr="00000000" w14:paraId="00000016">
            <w:pPr>
              <w:spacing w:after="60" w:before="60" w:lineRule="auto"/>
              <w:rPr/>
            </w:pPr>
            <w:r w:rsidDel="00000000" w:rsidR="00000000" w:rsidRPr="00000000">
              <w:rPr>
                <w:rtl w:val="0"/>
              </w:rPr>
              <w:t xml:space="preserve">Name(s) of Reviewer(s)</w:t>
            </w:r>
          </w:p>
        </w:tc>
        <w:tc>
          <w:tcPr/>
          <w:bookmarkStart w:colFirst="0" w:colLast="0" w:name="bookmark=id.1fob9te" w:id="2"/>
          <w:bookmarkEnd w:id="2"/>
          <w:p w:rsidR="00000000" w:rsidDel="00000000" w:rsidP="00000000" w:rsidRDefault="00000000" w:rsidRPr="00000000" w14:paraId="00000017">
            <w:pPr>
              <w:spacing w:after="60" w:before="60" w:lineRule="auto"/>
              <w:rPr/>
            </w:pPr>
            <w:r w:rsidDel="00000000" w:rsidR="00000000" w:rsidRPr="00000000">
              <w:rPr>
                <w:rtl w:val="0"/>
              </w:rPr>
              <w:t xml:space="preserve">     </w:t>
            </w:r>
          </w:p>
        </w:tc>
        <w:tc>
          <w:tcPr/>
          <w:p w:rsidR="00000000" w:rsidDel="00000000" w:rsidP="00000000" w:rsidRDefault="00000000" w:rsidRPr="00000000" w14:paraId="00000018">
            <w:pPr>
              <w:spacing w:after="60" w:before="60" w:lineRule="auto"/>
              <w:rPr/>
            </w:pPr>
            <w:r w:rsidDel="00000000" w:rsidR="00000000" w:rsidRPr="00000000">
              <w:rPr>
                <w:rtl w:val="0"/>
              </w:rPr>
              <w:t xml:space="preserve">Date</w:t>
            </w:r>
          </w:p>
        </w:tc>
        <w:tc>
          <w:tcPr/>
          <w:bookmarkStart w:colFirst="0" w:colLast="0" w:name="bookmark=id.3znysh7" w:id="3"/>
          <w:bookmarkEnd w:id="3"/>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1A">
      <w:pPr>
        <w:spacing w:line="120" w:lineRule="auto"/>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questions that address requirements contain the citation for the source of the requirement (statute, regulation, NOFA, or grant agreement).  If the requirement is not met, DOH must make a finding of noncompliance.  All other questions (questions that do not contain the citation for the requirement) do not address requirements, but are included to assist the reviewer in understanding the recipient's program more fully and/or to identify issues that, if not properly addressed, could result in deficient performance.  Negative conclusions to these questions may result in a "concern" being raised, but not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spacing w:line="120" w:lineRule="auto"/>
        <w:rPr/>
      </w:pPr>
      <w:r w:rsidDel="00000000" w:rsidR="00000000" w:rsidRPr="00000000">
        <w:rPr>
          <w:rtl w:val="0"/>
        </w:rPr>
      </w:r>
    </w:p>
    <w:p w:rsidR="00000000" w:rsidDel="00000000" w:rsidP="00000000" w:rsidRDefault="00000000" w:rsidRPr="00000000" w14:paraId="0000001D">
      <w:pPr>
        <w:widowControl w:val="0"/>
        <w:rPr/>
      </w:pPr>
      <w:r w:rsidDel="00000000" w:rsidR="00000000" w:rsidRPr="00000000">
        <w:rPr>
          <w:b w:val="1"/>
          <w:u w:val="single"/>
          <w:rtl w:val="0"/>
        </w:rPr>
        <w:t xml:space="preserve">Instructions</w:t>
      </w:r>
      <w:r w:rsidDel="00000000" w:rsidR="00000000" w:rsidRPr="00000000">
        <w:rPr>
          <w:b w:val="1"/>
          <w:rtl w:val="0"/>
        </w:rPr>
        <w:t xml:space="preserve">:  </w:t>
      </w:r>
      <w:r w:rsidDel="00000000" w:rsidR="00000000" w:rsidRPr="00000000">
        <w:rPr>
          <w:rtl w:val="0"/>
        </w:rPr>
        <w:t xml:space="preserve">This Exhibit is designed to monitor a Subrecipient’s compliance with requirements in Subparts D and F of 2 CFR part 200, </w:t>
      </w:r>
      <w:r w:rsidDel="00000000" w:rsidR="00000000" w:rsidRPr="00000000">
        <w:rPr>
          <w:i w:val="1"/>
          <w:rtl w:val="0"/>
        </w:rPr>
        <w:t xml:space="preserve">Uniform Administrative Requirements, Cost Principles, and Audit Requirements for Federal Awards</w:t>
      </w:r>
      <w:r w:rsidDel="00000000" w:rsidR="00000000" w:rsidRPr="00000000">
        <w:rPr>
          <w:rtl w:val="0"/>
        </w:rPr>
        <w:t xml:space="preserve">, except for questions related to Cost Allowability, Procurement, and Equipment, which are covered in other Exhibits in this Chapter.  </w:t>
      </w:r>
    </w:p>
    <w:p w:rsidR="00000000" w:rsidDel="00000000" w:rsidP="00000000" w:rsidRDefault="00000000" w:rsidRPr="00000000" w14:paraId="0000001E">
      <w:pPr>
        <w:widowControl w:val="0"/>
        <w:rPr/>
      </w:pPr>
      <w:r w:rsidDel="00000000" w:rsidR="00000000" w:rsidRPr="00000000">
        <w:rPr>
          <w:rtl w:val="0"/>
        </w:rPr>
      </w:r>
    </w:p>
    <w:p w:rsidR="00000000" w:rsidDel="00000000" w:rsidP="00000000" w:rsidRDefault="00000000" w:rsidRPr="00000000" w14:paraId="0000001F">
      <w:pPr>
        <w:widowControl w:val="0"/>
        <w:rPr/>
      </w:pPr>
      <w:r w:rsidDel="00000000" w:rsidR="00000000" w:rsidRPr="00000000">
        <w:rPr>
          <w:rtl w:val="0"/>
        </w:rPr>
        <w:t xml:space="preserve">DOH uses this Exhibit to monitor all ESG grants, so issues might results in two citations to include the 2 CFR 200 citation as well as the ESG program (24 CFR 576).</w:t>
      </w:r>
    </w:p>
    <w:p w:rsidR="00000000" w:rsidDel="00000000" w:rsidP="00000000" w:rsidRDefault="00000000" w:rsidRPr="00000000" w14:paraId="00000020">
      <w:pPr>
        <w:widowControl w:val="0"/>
        <w:rPr/>
      </w:pPr>
      <w:r w:rsidDel="00000000" w:rsidR="00000000" w:rsidRPr="00000000">
        <w:rPr>
          <w:rtl w:val="0"/>
        </w:rPr>
      </w:r>
    </w:p>
    <w:p w:rsidR="00000000" w:rsidDel="00000000" w:rsidP="00000000" w:rsidRDefault="00000000" w:rsidRPr="00000000" w14:paraId="00000021">
      <w:pPr>
        <w:widowControl w:val="0"/>
        <w:rPr/>
      </w:pPr>
      <w:r w:rsidDel="00000000" w:rsidR="00000000" w:rsidRPr="00000000">
        <w:rPr>
          <w:u w:val="single"/>
          <w:rtl w:val="0"/>
        </w:rPr>
        <w:t xml:space="preserve">Exhibit Structure:</w:t>
      </w:r>
      <w:r w:rsidDel="00000000" w:rsidR="00000000" w:rsidRPr="00000000">
        <w:rPr>
          <w:rtl w:val="0"/>
        </w:rPr>
        <w:t xml:space="preserve">  The Exhibit is divided into 11 sections: Financial Management; Internal Controls; Bonds; Payment and Financial Reporting; Improper Payments; Cost Sharing or Matching; Program Income; Revision of Budget and Program Plans; Period of Performance; Record Retention and Access; and Audit Requirements.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12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Questions: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left" w:pos="2160"/>
          <w:tab w:val="left" w:pos="2880"/>
          <w:tab w:val="left" w:pos="3600"/>
          <w:tab w:val="left" w:pos="5040"/>
          <w:tab w:val="left" w:pos="5760"/>
          <w:tab w:val="left" w:pos="6480"/>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left" w:pos="2160"/>
          <w:tab w:val="left" w:pos="2880"/>
          <w:tab w:val="left" w:pos="3600"/>
          <w:tab w:val="left" w:pos="5040"/>
          <w:tab w:val="left" w:pos="5760"/>
          <w:tab w:val="left" w:pos="6480"/>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 FINANCIAL MANAGEMENT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left" w:pos="2160"/>
          <w:tab w:val="left" w:pos="2880"/>
          <w:tab w:val="left" w:pos="3600"/>
          <w:tab w:val="left" w:pos="5040"/>
          <w:tab w:val="left" w:pos="5760"/>
          <w:tab w:val="left" w:pos="6480"/>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7">
      <w:pPr>
        <w:spacing w:after="160" w:line="259" w:lineRule="auto"/>
        <w:jc w:val="both"/>
        <w:rPr/>
      </w:pPr>
      <w:r w:rsidDel="00000000" w:rsidR="00000000" w:rsidRPr="00000000">
        <w:rPr>
          <w:u w:val="single"/>
          <w:rtl w:val="0"/>
        </w:rPr>
        <w:t xml:space="preserve">To answer these questions, you will need the following with respect to the grant(s) under review</w:t>
      </w:r>
      <w:r w:rsidDel="00000000" w:rsidR="00000000" w:rsidRPr="00000000">
        <w:rPr>
          <w:rtl w:val="0"/>
        </w:rPr>
        <w:t xml:space="preserve">:</w:t>
      </w:r>
    </w:p>
    <w:p w:rsidR="00000000" w:rsidDel="00000000" w:rsidP="00000000" w:rsidRDefault="00000000" w:rsidRPr="00000000" w14:paraId="00000028">
      <w:pPr>
        <w:numPr>
          <w:ilvl w:val="0"/>
          <w:numId w:val="3"/>
        </w:numPr>
        <w:spacing w:after="160" w:line="259" w:lineRule="auto"/>
        <w:ind w:left="360" w:hanging="360"/>
        <w:jc w:val="both"/>
        <w:rPr/>
      </w:pPr>
      <w:r w:rsidDel="00000000" w:rsidR="00000000" w:rsidRPr="00000000">
        <w:rPr>
          <w:rtl w:val="0"/>
        </w:rPr>
        <w:t xml:space="preserve">The chart of accounts used by the Subrecipient to classify accounting transactions.</w:t>
      </w:r>
    </w:p>
    <w:p w:rsidR="00000000" w:rsidDel="00000000" w:rsidP="00000000" w:rsidRDefault="00000000" w:rsidRPr="00000000" w14:paraId="00000029">
      <w:pPr>
        <w:numPr>
          <w:ilvl w:val="0"/>
          <w:numId w:val="3"/>
        </w:numPr>
        <w:spacing w:after="160" w:line="259" w:lineRule="auto"/>
        <w:ind w:left="360" w:hanging="360"/>
        <w:jc w:val="both"/>
        <w:rPr/>
      </w:pPr>
      <w:bookmarkStart w:colFirst="0" w:colLast="0" w:name="_heading=h.2et92p0" w:id="4"/>
      <w:bookmarkEnd w:id="4"/>
      <w:r w:rsidDel="00000000" w:rsidR="00000000" w:rsidRPr="00000000">
        <w:rPr>
          <w:rtl w:val="0"/>
        </w:rPr>
        <w:t xml:space="preserve">Current financial statements for the Subrecipient under review.  The financial statements must specify the amount of grant funds budgeted, obligated, expended, and remaining balances.</w:t>
      </w:r>
    </w:p>
    <w:p w:rsidR="00000000" w:rsidDel="00000000" w:rsidP="00000000" w:rsidRDefault="00000000" w:rsidRPr="00000000" w14:paraId="0000002A">
      <w:pPr>
        <w:numPr>
          <w:ilvl w:val="0"/>
          <w:numId w:val="3"/>
        </w:numPr>
        <w:spacing w:after="160" w:line="259" w:lineRule="auto"/>
        <w:ind w:left="360" w:hanging="360"/>
        <w:jc w:val="both"/>
        <w:rPr/>
      </w:pPr>
      <w:r w:rsidDel="00000000" w:rsidR="00000000" w:rsidRPr="00000000">
        <w:rPr>
          <w:rtl w:val="0"/>
        </w:rPr>
        <w:t xml:space="preserve">Budget variance report.</w:t>
      </w:r>
    </w:p>
    <w:p w:rsidR="00000000" w:rsidDel="00000000" w:rsidP="00000000" w:rsidRDefault="00000000" w:rsidRPr="00000000" w14:paraId="0000002B">
      <w:pPr>
        <w:spacing w:after="160" w:line="259" w:lineRule="auto"/>
        <w:rPr/>
      </w:pPr>
      <w:r w:rsidDel="00000000" w:rsidR="00000000" w:rsidRPr="00000000">
        <w:rPr>
          <w:rtl w:val="0"/>
        </w:rPr>
      </w:r>
    </w:p>
    <w:p w:rsidR="00000000" w:rsidDel="00000000" w:rsidP="00000000" w:rsidRDefault="00000000" w:rsidRPr="00000000" w14:paraId="0000002C">
      <w:pPr>
        <w:spacing w:after="160" w:line="259" w:lineRule="auto"/>
        <w:rPr/>
      </w:pPr>
      <w:r w:rsidDel="00000000" w:rsidR="00000000" w:rsidRPr="00000000">
        <w:rPr>
          <w:rtl w:val="0"/>
        </w:rPr>
      </w:r>
    </w:p>
    <w:p w:rsidR="00000000" w:rsidDel="00000000" w:rsidP="00000000" w:rsidRDefault="00000000" w:rsidRPr="00000000" w14:paraId="0000002D">
      <w:pPr>
        <w:spacing w:after="160" w:line="259" w:lineRule="auto"/>
        <w:rPr/>
      </w:pPr>
      <w:r w:rsidDel="00000000" w:rsidR="00000000" w:rsidRPr="00000000">
        <w:rPr>
          <w:rtl w:val="0"/>
        </w:rPr>
        <w:t xml:space="preserve">1.</w:t>
      </w:r>
    </w:p>
    <w:tbl>
      <w:tblPr>
        <w:tblStyle w:val="Table2"/>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620" w:hRule="atLeast"/>
          <w:tblHeader w:val="0"/>
        </w:trPr>
        <w:tc>
          <w:tcPr>
            <w:gridSpan w:val="2"/>
            <w:tcBorders>
              <w:bottom w:color="000000" w:space="0" w:sz="4" w:val="single"/>
            </w:tcBorders>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Typically, the Subrecipient’s chart of accounts will contain classification instructions that allow the questions to be answered (e.g., account names/codes that identify each Federal program by name and CFDA number, grant number.).  If the Subrecipient’s chart of accounts does not provide the information required, the entity must furnish other evidence of compliance.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 with other questions in this exhibit, the DOH reviewer should answer these questions only with respect to the grant(s) and program(s) under review.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0" w:hRule="atLeast"/>
          <w:tblHeader w:val="0"/>
        </w:trPr>
        <w:tc>
          <w:tcPr>
            <w:tcBorders>
              <w:bottom w:color="000000" w:space="0" w:sz="4" w:val="single"/>
            </w:tcBorders>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5"/>
                <w:tab w:val="left" w:pos="3215"/>
                <w:tab w:val="left" w:pos="3600"/>
                <w:tab w:val="left" w:pos="5040"/>
                <w:tab w:val="left" w:pos="5760"/>
                <w:tab w:val="left" w:pos="64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Do the Subrecipient’s accounts identify all Federal awards received and expended, and the Federal programs under which they were received?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3215"/>
                <w:tab w:val="left" w:pos="3600"/>
                <w:tab w:val="left" w:pos="5040"/>
                <w:tab w:val="left" w:pos="5760"/>
                <w:tab w:val="left" w:pos="6480"/>
              </w:tabs>
              <w:spacing w:after="0" w:before="0" w:line="240" w:lineRule="auto"/>
              <w:ind w:left="360" w:right="0" w:firstLine="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3215"/>
                <w:tab w:val="left" w:pos="3600"/>
                <w:tab w:val="left" w:pos="5040"/>
                <w:tab w:val="left" w:pos="5760"/>
                <w:tab w:val="left" w:pos="6480"/>
              </w:tabs>
              <w:spacing w:after="0" w:before="0" w:line="240" w:lineRule="auto"/>
              <w:ind w:left="360" w:right="0" w:firstLine="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CFR 200.302(b)(1); CDBG Entitlement: 24 CFR 570.502(a); HOME: 24 CFR 92.505; HOPWA: 24 CFR 574.605; ESG: 24 CFR 576.407(c) and 24 CFR 576.500(u); CoC: 24 CFR 578.99(e) and 24 CFR 578.103(a)(15) (for grants awarded under the FY 2015 NOFA) or 578.103(a)(16) (for grants awarded under the FY 2016 NOFA or later)]</w:t>
            </w:r>
          </w:p>
        </w:tc>
        <w:tc>
          <w:tcPr>
            <w:tcBorders>
              <w:bottom w:color="000000" w:space="0" w:sz="4" w:val="single"/>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0" w:hRule="atLeast"/>
          <w:tblHeader w:val="0"/>
        </w:trPr>
        <w:tc>
          <w:tcPr>
            <w:tcBorders>
              <w:bottom w:color="000000" w:space="0" w:sz="4" w:val="single"/>
            </w:tcBorders>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5"/>
                <w:tab w:val="left" w:pos="3215"/>
                <w:tab w:val="left" w:pos="3600"/>
                <w:tab w:val="left" w:pos="5040"/>
                <w:tab w:val="left" w:pos="5760"/>
                <w:tab w:val="left" w:pos="64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Does the award and program information in the accounts include, as applicable, the CFDA title and number, Federal award identification number and year, name of the Federal agency, and name of the pass-through entity, if any?</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5"/>
                <w:tab w:val="left" w:pos="3215"/>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5"/>
                <w:tab w:val="left" w:pos="3215"/>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CFR 200.302(b)(1); CDBG Entitlement: 24 CFR 570.502(a); HOME: 24 CFR 92.505; HOPWA: 24 CFR 574.605; ESG: 24 CFR 576.407(c) and 24 CFR 576.500(u); CoC: 24 CFR 578.99(e) and 24 CFR 578.103(a)(15) (for grants awarded under the FY 2015 NOFA) or 578.103(a)(16) (for grants awarded under the FY 2016 NOFA or later)]</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5"/>
                <w:tab w:val="left" w:pos="3215"/>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3" w:hRule="atLeast"/>
          <w:tblHeader w:val="0"/>
        </w:trPr>
        <w:tc>
          <w:tcPr>
            <w:tcBorders>
              <w:bottom w:color="000000" w:space="0" w:sz="4" w:val="single"/>
            </w:tcBorders>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hanging="3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Is the award and program information in the accounts consistent with the applicable grant agreement document(s)?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hanging="3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hanging="3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CFR 200.302(b)(1); CDBG Entitlement: 24 CFR 570.502(a); HOME: 24 CFR 92.505; HOPWA: 24 CFR 574.605; ESG: 24 CFR 576.407(c) and 24 CFR 576.500(u); CoC: 24 CFR 578.99(e) and 24 CFR 578.103(a)(15) (for grants awarded under the FY 2015 NOFA) or 578.103(a)(16) (for grants awarded under the FY 2016 NOFA or later)]</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hanging="3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3" w:hRule="atLeast"/>
          <w:tblHeader w:val="0"/>
        </w:trPr>
        <w:tc>
          <w:tcPr>
            <w:tcBorders>
              <w:bottom w:color="000000" w:space="0" w:sz="4" w:val="single"/>
            </w:tcBorders>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hanging="3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Are the account classifications in the chart of accounts consistent with the account classifications in the general ledger?</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hanging="3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1"/>
          <w:tblHeader w:val="0"/>
        </w:trPr>
        <w:tc>
          <w:tcPr>
            <w:gridSpan w:val="2"/>
            <w:tcBorders>
              <w:top w:color="000000" w:space="0" w:sz="0" w:val="nil"/>
            </w:tcBorders>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2.</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tl w:val="0"/>
        </w:rPr>
      </w:r>
    </w:p>
    <w:tbl>
      <w:tblPr>
        <w:tblStyle w:val="Table7"/>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9"/>
        <w:gridCol w:w="1621"/>
        <w:tblGridChange w:id="0">
          <w:tblGrid>
            <w:gridCol w:w="7369"/>
            <w:gridCol w:w="1621"/>
          </w:tblGrid>
        </w:tblGridChange>
      </w:tblGrid>
      <w:tr>
        <w:trPr>
          <w:cantSplit w:val="1"/>
          <w:trHeight w:val="773" w:hRule="atLeast"/>
          <w:tblHeader w:val="0"/>
        </w:trPr>
        <w:tc>
          <w:tcPr>
            <w:gridSpan w:val="2"/>
            <w:tcBorders>
              <w:bottom w:color="000000" w:space="0" w:sz="4" w:val="single"/>
            </w:tcBorders>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Subrecipient’s financial management system records must identify adequately the source and application of funds for HUD-funded activities.  The Subrecipient can facilitate compliance with this requirement if it accounts for a HUD program in a separate accounting fund (e.g., Special Revenue Fund).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however, that DOH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cannot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require the Subrecipient to establish an accrual accounting system.</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3" w:hRule="atLeast"/>
          <w:tblHeader w:val="0"/>
        </w:trPr>
        <w:tc>
          <w:tcPr>
            <w:tcBorders>
              <w:bottom w:color="000000" w:space="0" w:sz="4" w:val="single"/>
            </w:tcBorders>
          </w:tcPr>
          <w:p w:rsidR="00000000" w:rsidDel="00000000" w:rsidP="00000000" w:rsidRDefault="00000000" w:rsidRPr="00000000" w14:paraId="0000006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center" w:pos="4320"/>
                <w:tab w:val="right" w:pos="8640"/>
                <w:tab w:val="left" w:pos="323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the Subrecipient’s accounting records contain information on DOH grant awards, authorizations, obligations, unobligated balances, assets, expenditures, income, and interest?</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Subrecipients may use the term “encumbrance” in lieu of “obligation” in their accounting records.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CFR 200.302(b)(3); CDBG Entitlement: 24 CFR 570.502(a); HOME: 24 CFR 92.505; HOPWA: 24 CFR 574.605; ESG: 24 CFR 576.407(c) and 24 CFR 576.500(u); CoC: 24 CFR 578.99(e) and 24 CFR 578.103(a)(15) (for grants awarded under the FY 2015 NOFA) or 578.103(a)(16) (for grants awarded under the FY 2016 NOFA or later)]</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1"/>
          <w:tblHeader w:val="0"/>
        </w:trPr>
        <w:tc>
          <w:tcPr>
            <w:gridSpan w:val="2"/>
            <w:tcBorders>
              <w:top w:color="000000" w:space="0" w:sz="0" w:val="nil"/>
            </w:tcBorders>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3" w:hRule="atLeast"/>
          <w:tblHeader w:val="0"/>
        </w:trPr>
        <w:tc>
          <w:tcPr>
            <w:tcBorders>
              <w:bottom w:color="000000" w:space="0" w:sz="4" w:val="single"/>
            </w:tcBorders>
          </w:tcPr>
          <w:p w:rsidR="00000000" w:rsidDel="00000000" w:rsidP="00000000" w:rsidRDefault="00000000" w:rsidRPr="00000000" w14:paraId="0000007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the financial management system contain records (e.g., accounting records) that show the amounts budgeted/allocated for activities to be undertaken with the assistance provided under the award(s) reviewed?</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CFR 200.302(a) and 2 CFR 200.302(b)(3); CDBG Entitlement: 24 CFR 570.502(a); HOME: 24 CFR 92.505; HOPWA: 24 CFR 574.605; ESG: 24 CFR 576.407(c) and 24 CFR 576.500(u); CoC: 24 CFR 578.99(e) and 24 CFR 578.103(a)(15) (for grants awarded under the FY 2015 NOFA) or 578.103(a)(16) (for grants awarded under the FY 2016 NOFA or later)]</w:t>
            </w:r>
          </w:p>
        </w:tc>
        <w:tc>
          <w:tcPr>
            <w:tcBorders>
              <w:bottom w:color="000000" w:space="0" w:sz="4" w:val="single"/>
            </w:tcBorders>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3" w:hRule="atLeast"/>
          <w:tblHeader w:val="0"/>
        </w:trPr>
        <w:tc>
          <w:tcPr>
            <w:gridSpan w:val="2"/>
            <w:tcBorders>
              <w:bottom w:color="000000" w:space="0" w:sz="4" w:val="single"/>
            </w:tcBorders>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3" w:hRule="atLeast"/>
          <w:tblHeader w:val="0"/>
        </w:trPr>
        <w:tc>
          <w:tcPr>
            <w:tcBorders>
              <w:bottom w:color="000000" w:space="0" w:sz="4" w:val="single"/>
            </w:tcBorders>
          </w:tcPr>
          <w:p w:rsidR="00000000" w:rsidDel="00000000" w:rsidP="00000000" w:rsidRDefault="00000000" w:rsidRPr="00000000" w14:paraId="0000008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the amounts budgeted/allocated for activities consistent with the corresponding amounts in the source documents (such as the award/subaward document (e.g., cooperative agreement, grant agreement, and subrecipient agreement)?</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CFR 200.302(a) and 2 CFR 200.302(b)(3); CDBG Entitlement: 24 CFR 570.502(a); HOME: 24 CFR 92.505; HOPWA: 24 CFR 574.605; ESG: 24 CFR 576.407(c) and 24 CFR 576.500(u); CoC: 24 CFR 578.99(e) and 24 CFR 578.103(a)(15) (for grants awarded under the FY 2015 NOFA) or 578.103(a)(16) (for grants awarded under the FY 2016 NOFA or later)]</w:t>
            </w:r>
          </w:p>
        </w:tc>
        <w:tc>
          <w:tcPr>
            <w:tcBorders>
              <w:bottom w:color="000000" w:space="0" w:sz="4" w:val="single"/>
            </w:tcBorders>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3" w:hRule="atLeast"/>
          <w:tblHeader w:val="0"/>
        </w:trPr>
        <w:tc>
          <w:tcPr>
            <w:tcBorders>
              <w:bottom w:color="000000" w:space="0" w:sz="4" w:val="single"/>
            </w:tcBorders>
          </w:tcPr>
          <w:p w:rsidR="00000000" w:rsidDel="00000000" w:rsidP="00000000" w:rsidRDefault="00000000" w:rsidRPr="00000000" w14:paraId="0000009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the Subrecipient identify expenditures in its accounting records according to eligible activity classifications specified in the statute, regulations, or grant agreement to identify the use of program funds for eligible activities?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CFR 200.302(a) and 2 CFR 200.302(b)(3); CDBG Entitlement: 24 CFR 570.502(a); HOME: 24 CFR 92.505; HOPWA: 24 CFR 574.605; ESG: 24 CFR 576.407(c) and 24 CFR 576.500(u); CoC: 24 CFR 578.99(e) and 24 CFR 578.103(a)(15) (for grants awarded under the FY 2015 NOFA) or 578.103(a)(16) (for grants awarded under the FY 2016 NOFA or later)]</w:t>
            </w:r>
          </w:p>
        </w:tc>
        <w:tc>
          <w:tcPr>
            <w:tcBorders>
              <w:bottom w:color="000000" w:space="0" w:sz="4" w:val="single"/>
            </w:tcBorders>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1"/>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3" w:hRule="atLeast"/>
          <w:tblHeader w:val="0"/>
        </w:trPr>
        <w:tc>
          <w:tcPr>
            <w:tcBorders>
              <w:bottom w:color="000000" w:space="0" w:sz="4" w:val="single"/>
            </w:tcBorders>
          </w:tcPr>
          <w:p w:rsidR="00000000" w:rsidDel="00000000" w:rsidP="00000000" w:rsidRDefault="00000000" w:rsidRPr="00000000" w14:paraId="000000A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the Subrecipient’s financial management system provide for comparison of expenditures with budget amounts for each award reviewed?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CFR 200.302(a) and 2 CFR 200.302(b)(5); CDBG Entitlement: 24 CFR 570.502(a); HOME: 24 CFR 92.505; HOPWA: 24 CFR 574.605; ESG: 24 CFR 576.407(c) and 24 CFR 576.500(u); CoC: 24 CFR 578.99(e) and 24 CFR 578.103(a)(15) (for grants awarded under the FY 2015 NOFA) or 578.103(a)(16) (for grants awarded under the FY 2016 NOFA or later)]</w:t>
            </w:r>
          </w:p>
        </w:tc>
        <w:tc>
          <w:tcPr>
            <w:tcBorders>
              <w:bottom w:color="000000" w:space="0" w:sz="4" w:val="single"/>
            </w:tcBorders>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3" w:hRule="atLeast"/>
          <w:tblHeader w:val="0"/>
        </w:trPr>
        <w:tc>
          <w:tcPr>
            <w:gridSpan w:val="2"/>
            <w:tcBorders>
              <w:bottom w:color="000000" w:space="0" w:sz="4" w:val="single"/>
            </w:tcBorders>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3" w:hRule="atLeast"/>
          <w:tblHeader w:val="0"/>
        </w:trPr>
        <w:tc>
          <w:tcPr>
            <w:tcBorders>
              <w:bottom w:color="000000" w:space="0" w:sz="4" w:val="single"/>
            </w:tcBorders>
          </w:tcPr>
          <w:p w:rsidR="00000000" w:rsidDel="00000000" w:rsidP="00000000" w:rsidRDefault="00000000" w:rsidRPr="00000000" w14:paraId="000000B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the Subrecipient’s accounting records reconcile with financial data reported to DOH through the Neighborly systems?</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the Subrecipient maintains its records on other than an accrual basis, it must be able to support accrual data in its reports on the basis of the documentation on hand.</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63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CFR 200.302(b)(2); CDBG Entitlement: 24 CFR 570.502(a); HOME: 24 CFR 92.505; HOPWA: 24 CFR 574.605; ESG: 24 CFR 576.407(c) and 24 CFR 576.500(u); CoC: 24 CFR 578.99(e) and 24 CFR 578.103(a)(15) (for grants awarded under the FY 2015 NOFA) or 578.103(a)(16) (for grants awarded under the FY 2016 NOFA or later)]</w:t>
            </w:r>
          </w:p>
        </w:tc>
        <w:tc>
          <w:tcPr>
            <w:tcBorders>
              <w:bottom w:color="000000" w:space="0" w:sz="4" w:val="single"/>
            </w:tcBorders>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3"/>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3" w:hRule="atLeast"/>
          <w:tblHeader w:val="0"/>
        </w:trPr>
        <w:tc>
          <w:tcPr>
            <w:gridSpan w:val="2"/>
            <w:tcBorders>
              <w:bottom w:color="000000" w:space="0" w:sz="4" w:val="single"/>
            </w:tcBorders>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p>
    <w:tbl>
      <w:tblPr>
        <w:tblStyle w:val="Table14"/>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90"/>
        <w:tblGridChange w:id="0">
          <w:tblGrid>
            <w:gridCol w:w="8990"/>
          </w:tblGrid>
        </w:tblGridChange>
      </w:tblGrid>
      <w:tr>
        <w:trPr>
          <w:cantSplit w:val="1"/>
          <w:trHeight w:val="773" w:hRule="atLeast"/>
          <w:tblHeader w:val="0"/>
        </w:trPr>
        <w:tc>
          <w:tcPr>
            <w:tcBorders>
              <w:bottom w:color="000000" w:space="0" w:sz="4" w:val="single"/>
            </w:tcBorders>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Subrecipient must maintain source documentation that supports the Sub-subrecipient’s information in the financial management system regarding grant awards, authorizations, obligations, unobligated balances, assets, expenditures, income, and interest. The sampling method and questions below may be used when assessing the adequacy of documentation supporting expenditure information.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Step 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Using the list of expenditure transactions for the grant(s) under review, determine the population (total number of expenditures) and enter this number in the “Sample Method” table below.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decide on an appropriate sample method and size, based on the monitoring strategy and time and resource constraints.  If time and resource constraints permit and the monitoring strategy is to make a statistically confident judgment of compliance across all expenditures in the review timeframe, either: a) review every expenditure or b) choose your sample using random sample methodology including review of at least the number of instances shown in the table below. </w:t>
            </w:r>
          </w:p>
          <w:tbl>
            <w:tblPr>
              <w:tblStyle w:val="Table15"/>
              <w:tblW w:w="42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2"/>
              <w:gridCol w:w="2133"/>
              <w:tblGridChange w:id="0">
                <w:tblGrid>
                  <w:gridCol w:w="2132"/>
                  <w:gridCol w:w="2133"/>
                </w:tblGrid>
              </w:tblGridChange>
            </w:tblGrid>
            <w:tr>
              <w:trPr>
                <w:cantSplit w:val="0"/>
                <w:trHeight w:val="259" w:hRule="atLeast"/>
                <w:tblHeader w:val="0"/>
              </w:trPr>
              <w:tc>
                <w:tcPr>
                  <w:gridSpan w:val="2"/>
                  <w:shd w:fill="auto" w:val="clear"/>
                </w:tcPr>
                <w:p w:rsidR="00000000" w:rsidDel="00000000" w:rsidP="00000000" w:rsidRDefault="00000000" w:rsidRPr="00000000" w14:paraId="000000F7">
                  <w:pPr>
                    <w:widowControl w:val="0"/>
                    <w:jc w:val="center"/>
                    <w:rPr>
                      <w:b w:val="1"/>
                    </w:rPr>
                  </w:pPr>
                  <w:r w:rsidDel="00000000" w:rsidR="00000000" w:rsidRPr="00000000">
                    <w:rPr>
                      <w:b w:val="1"/>
                      <w:rtl w:val="0"/>
                    </w:rPr>
                    <w:t xml:space="preserve">Random Sample Methodology</w:t>
                  </w:r>
                </w:p>
              </w:tc>
            </w:tr>
            <w:tr>
              <w:trPr>
                <w:cantSplit w:val="0"/>
                <w:trHeight w:val="259" w:hRule="atLeast"/>
                <w:tblHeader w:val="0"/>
              </w:trPr>
              <w:tc>
                <w:tcPr>
                  <w:shd w:fill="auto" w:val="clear"/>
                </w:tcPr>
                <w:p w:rsidR="00000000" w:rsidDel="00000000" w:rsidP="00000000" w:rsidRDefault="00000000" w:rsidRPr="00000000" w14:paraId="000000F9">
                  <w:pPr>
                    <w:widowControl w:val="0"/>
                    <w:jc w:val="center"/>
                    <w:rPr>
                      <w:b w:val="1"/>
                    </w:rPr>
                  </w:pPr>
                  <w:r w:rsidDel="00000000" w:rsidR="00000000" w:rsidRPr="00000000">
                    <w:rPr>
                      <w:b w:val="1"/>
                      <w:rtl w:val="0"/>
                    </w:rPr>
                    <w:t xml:space="preserve">POPULATION SIZE</w:t>
                  </w:r>
                </w:p>
              </w:tc>
              <w:tc>
                <w:tcPr>
                  <w:shd w:fill="auto" w:val="clear"/>
                </w:tcPr>
                <w:p w:rsidR="00000000" w:rsidDel="00000000" w:rsidP="00000000" w:rsidRDefault="00000000" w:rsidRPr="00000000" w14:paraId="000000FA">
                  <w:pPr>
                    <w:widowControl w:val="0"/>
                    <w:jc w:val="center"/>
                    <w:rPr>
                      <w:b w:val="1"/>
                    </w:rPr>
                  </w:pPr>
                  <w:r w:rsidDel="00000000" w:rsidR="00000000" w:rsidRPr="00000000">
                    <w:rPr>
                      <w:b w:val="1"/>
                      <w:rtl w:val="0"/>
                    </w:rPr>
                    <w:t xml:space="preserve">MINIMUM SAMPLE SIZE</w:t>
                  </w:r>
                </w:p>
              </w:tc>
            </w:tr>
            <w:tr>
              <w:trPr>
                <w:cantSplit w:val="0"/>
                <w:trHeight w:val="259" w:hRule="atLeast"/>
                <w:tblHeader w:val="0"/>
              </w:trPr>
              <w:tc>
                <w:tcPr>
                  <w:shd w:fill="auto" w:val="clear"/>
                </w:tcPr>
                <w:p w:rsidR="00000000" w:rsidDel="00000000" w:rsidP="00000000" w:rsidRDefault="00000000" w:rsidRPr="00000000" w14:paraId="000000FB">
                  <w:pPr>
                    <w:widowControl w:val="0"/>
                    <w:rPr/>
                  </w:pPr>
                  <w:r w:rsidDel="00000000" w:rsidR="00000000" w:rsidRPr="00000000">
                    <w:rPr>
                      <w:rtl w:val="0"/>
                    </w:rPr>
                    <w:t xml:space="preserve">1</w:t>
                  </w:r>
                </w:p>
              </w:tc>
              <w:tc>
                <w:tcPr>
                  <w:shd w:fill="auto" w:val="clear"/>
                </w:tcPr>
                <w:p w:rsidR="00000000" w:rsidDel="00000000" w:rsidP="00000000" w:rsidRDefault="00000000" w:rsidRPr="00000000" w14:paraId="000000FC">
                  <w:pPr>
                    <w:widowControl w:val="0"/>
                    <w:rPr/>
                  </w:pPr>
                  <w:r w:rsidDel="00000000" w:rsidR="00000000" w:rsidRPr="00000000">
                    <w:rPr>
                      <w:rtl w:val="0"/>
                    </w:rPr>
                    <w:t xml:space="preserve">1</w:t>
                  </w:r>
                </w:p>
              </w:tc>
            </w:tr>
            <w:tr>
              <w:trPr>
                <w:cantSplit w:val="0"/>
                <w:trHeight w:val="259" w:hRule="atLeast"/>
                <w:tblHeader w:val="0"/>
              </w:trPr>
              <w:tc>
                <w:tcPr>
                  <w:shd w:fill="auto" w:val="clear"/>
                </w:tcPr>
                <w:p w:rsidR="00000000" w:rsidDel="00000000" w:rsidP="00000000" w:rsidRDefault="00000000" w:rsidRPr="00000000" w14:paraId="000000FD">
                  <w:pPr>
                    <w:widowControl w:val="0"/>
                    <w:rPr/>
                  </w:pPr>
                  <w:r w:rsidDel="00000000" w:rsidR="00000000" w:rsidRPr="00000000">
                    <w:rPr>
                      <w:rtl w:val="0"/>
                    </w:rPr>
                    <w:t xml:space="preserve">2 - 4</w:t>
                  </w:r>
                </w:p>
              </w:tc>
              <w:tc>
                <w:tcPr>
                  <w:shd w:fill="auto" w:val="clear"/>
                </w:tcPr>
                <w:p w:rsidR="00000000" w:rsidDel="00000000" w:rsidP="00000000" w:rsidRDefault="00000000" w:rsidRPr="00000000" w14:paraId="000000FE">
                  <w:pPr>
                    <w:widowControl w:val="0"/>
                    <w:rPr/>
                  </w:pPr>
                  <w:r w:rsidDel="00000000" w:rsidR="00000000" w:rsidRPr="00000000">
                    <w:rPr>
                      <w:rtl w:val="0"/>
                    </w:rPr>
                    <w:t xml:space="preserve">2</w:t>
                  </w:r>
                </w:p>
              </w:tc>
            </w:tr>
            <w:tr>
              <w:trPr>
                <w:cantSplit w:val="0"/>
                <w:trHeight w:val="259" w:hRule="atLeast"/>
                <w:tblHeader w:val="0"/>
              </w:trPr>
              <w:tc>
                <w:tcPr>
                  <w:shd w:fill="auto" w:val="clear"/>
                </w:tcPr>
                <w:p w:rsidR="00000000" w:rsidDel="00000000" w:rsidP="00000000" w:rsidRDefault="00000000" w:rsidRPr="00000000" w14:paraId="000000FF">
                  <w:pPr>
                    <w:widowControl w:val="0"/>
                    <w:rPr/>
                  </w:pPr>
                  <w:r w:rsidDel="00000000" w:rsidR="00000000" w:rsidRPr="00000000">
                    <w:rPr>
                      <w:rtl w:val="0"/>
                    </w:rPr>
                    <w:t xml:space="preserve">5 - 12</w:t>
                  </w:r>
                </w:p>
              </w:tc>
              <w:tc>
                <w:tcPr>
                  <w:shd w:fill="auto" w:val="clear"/>
                </w:tcPr>
                <w:p w:rsidR="00000000" w:rsidDel="00000000" w:rsidP="00000000" w:rsidRDefault="00000000" w:rsidRPr="00000000" w14:paraId="00000100">
                  <w:pPr>
                    <w:widowControl w:val="0"/>
                    <w:rPr/>
                  </w:pPr>
                  <w:r w:rsidDel="00000000" w:rsidR="00000000" w:rsidRPr="00000000">
                    <w:rPr>
                      <w:rtl w:val="0"/>
                    </w:rPr>
                    <w:t xml:space="preserve">3</w:t>
                  </w:r>
                </w:p>
              </w:tc>
            </w:tr>
            <w:tr>
              <w:trPr>
                <w:cantSplit w:val="0"/>
                <w:trHeight w:val="259" w:hRule="atLeast"/>
                <w:tblHeader w:val="0"/>
              </w:trPr>
              <w:tc>
                <w:tcPr>
                  <w:shd w:fill="auto" w:val="clear"/>
                </w:tcPr>
                <w:p w:rsidR="00000000" w:rsidDel="00000000" w:rsidP="00000000" w:rsidRDefault="00000000" w:rsidRPr="00000000" w14:paraId="00000101">
                  <w:pPr>
                    <w:widowControl w:val="0"/>
                    <w:rPr/>
                  </w:pPr>
                  <w:r w:rsidDel="00000000" w:rsidR="00000000" w:rsidRPr="00000000">
                    <w:rPr>
                      <w:rtl w:val="0"/>
                    </w:rPr>
                    <w:t xml:space="preserve">13 - 52</w:t>
                  </w:r>
                </w:p>
              </w:tc>
              <w:tc>
                <w:tcPr>
                  <w:shd w:fill="auto" w:val="clear"/>
                </w:tcPr>
                <w:p w:rsidR="00000000" w:rsidDel="00000000" w:rsidP="00000000" w:rsidRDefault="00000000" w:rsidRPr="00000000" w14:paraId="00000102">
                  <w:pPr>
                    <w:widowControl w:val="0"/>
                    <w:rPr/>
                  </w:pPr>
                  <w:r w:rsidDel="00000000" w:rsidR="00000000" w:rsidRPr="00000000">
                    <w:rPr>
                      <w:rtl w:val="0"/>
                    </w:rPr>
                    <w:t xml:space="preserve">10</w:t>
                  </w:r>
                </w:p>
              </w:tc>
            </w:tr>
            <w:tr>
              <w:trPr>
                <w:cantSplit w:val="0"/>
                <w:trHeight w:val="259" w:hRule="atLeast"/>
                <w:tblHeader w:val="0"/>
              </w:trPr>
              <w:tc>
                <w:tcPr>
                  <w:shd w:fill="auto" w:val="clear"/>
                </w:tcPr>
                <w:p w:rsidR="00000000" w:rsidDel="00000000" w:rsidP="00000000" w:rsidRDefault="00000000" w:rsidRPr="00000000" w14:paraId="00000103">
                  <w:pPr>
                    <w:widowControl w:val="0"/>
                    <w:rPr/>
                  </w:pPr>
                  <w:r w:rsidDel="00000000" w:rsidR="00000000" w:rsidRPr="00000000">
                    <w:rPr>
                      <w:rtl w:val="0"/>
                    </w:rPr>
                    <w:t xml:space="preserve">53 - 250</w:t>
                  </w:r>
                </w:p>
              </w:tc>
              <w:tc>
                <w:tcPr>
                  <w:shd w:fill="auto" w:val="clear"/>
                </w:tcPr>
                <w:p w:rsidR="00000000" w:rsidDel="00000000" w:rsidP="00000000" w:rsidRDefault="00000000" w:rsidRPr="00000000" w14:paraId="00000104">
                  <w:pPr>
                    <w:widowControl w:val="0"/>
                    <w:rPr/>
                  </w:pPr>
                  <w:r w:rsidDel="00000000" w:rsidR="00000000" w:rsidRPr="00000000">
                    <w:rPr>
                      <w:rtl w:val="0"/>
                    </w:rPr>
                    <w:t xml:space="preserve">30</w:t>
                  </w:r>
                </w:p>
              </w:tc>
            </w:tr>
            <w:tr>
              <w:trPr>
                <w:cantSplit w:val="0"/>
                <w:trHeight w:val="259" w:hRule="atLeast"/>
                <w:tblHeader w:val="0"/>
              </w:trPr>
              <w:tc>
                <w:tcPr>
                  <w:shd w:fill="auto" w:val="clear"/>
                </w:tcPr>
                <w:p w:rsidR="00000000" w:rsidDel="00000000" w:rsidP="00000000" w:rsidRDefault="00000000" w:rsidRPr="00000000" w14:paraId="00000105">
                  <w:pPr>
                    <w:widowControl w:val="0"/>
                    <w:rPr/>
                  </w:pPr>
                  <w:r w:rsidDel="00000000" w:rsidR="00000000" w:rsidRPr="00000000">
                    <w:rPr>
                      <w:rtl w:val="0"/>
                    </w:rPr>
                    <w:t xml:space="preserve">250+</w:t>
                  </w:r>
                </w:p>
              </w:tc>
              <w:tc>
                <w:tcPr>
                  <w:shd w:fill="auto" w:val="clear"/>
                </w:tcPr>
                <w:p w:rsidR="00000000" w:rsidDel="00000000" w:rsidP="00000000" w:rsidRDefault="00000000" w:rsidRPr="00000000" w14:paraId="00000106">
                  <w:pPr>
                    <w:widowControl w:val="0"/>
                    <w:rPr/>
                  </w:pPr>
                  <w:r w:rsidDel="00000000" w:rsidR="00000000" w:rsidRPr="00000000">
                    <w:rPr>
                      <w:rtl w:val="0"/>
                    </w:rPr>
                    <w:t xml:space="preserve">45</w:t>
                  </w:r>
                </w:p>
              </w:tc>
            </w:tr>
          </w:tbl>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time and resources are constraints, you may randomly select a lesser number of expenditures as your sample and note this in “Sample Method” table below. You may also choose a non-random sample, as discussed in Chapter 2-7 C.1. Again, if you select a non-random sample, note this in the “Sample Method” table below.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Your sample method affects the conclusions you may make. If you do not undertake a review of every expenditure in the timeframe or do not randomly select a sufficiently large sample, any findings of noncompliance should apply only to the instances you actually reviewed. The presence of such a case-specific finding(s) may, however, form the basis for a concern(s) about the overall universe.</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6"/>
              <w:tblW w:w="8795.0" w:type="dxa"/>
              <w:jc w:val="left"/>
              <w:tblInd w:w="1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78"/>
              <w:gridCol w:w="1779"/>
              <w:gridCol w:w="1518"/>
              <w:gridCol w:w="1120"/>
              <w:tblGridChange w:id="0">
                <w:tblGrid>
                  <w:gridCol w:w="4378"/>
                  <w:gridCol w:w="1779"/>
                  <w:gridCol w:w="1518"/>
                  <w:gridCol w:w="1120"/>
                </w:tblGrid>
              </w:tblGridChange>
            </w:tblGrid>
            <w:tr>
              <w:trPr>
                <w:cantSplit w:val="1"/>
                <w:trHeight w:val="386" w:hRule="atLeast"/>
                <w:tblHeader w:val="0"/>
              </w:trPr>
              <w:tc>
                <w:tcPr>
                  <w:gridSpan w:val="4"/>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Sample Method</w:t>
                  </w:r>
                </w:p>
              </w:tc>
            </w:tr>
            <w:tr>
              <w:trPr>
                <w:cantSplit w:val="1"/>
                <w:tblHeader w:val="0"/>
              </w:trPr>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Planned Review Method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 only one)</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Population</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 of expenditures under grant(s) reviewed)</w:t>
                  </w:r>
                </w:p>
              </w:tc>
              <w:tc>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Planned Sample Size/ Number to Review</w:t>
                  </w:r>
                </w:p>
              </w:tc>
              <w:tc>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Actual Number Reviewed</w:t>
                  </w:r>
                </w:p>
              </w:tc>
            </w:tr>
            <w:tr>
              <w:trPr>
                <w:cantSplit w:val="1"/>
                <w:trHeight w:val="3746" w:hRule="atLeast"/>
                <w:tblHeader w:val="0"/>
              </w:trPr>
              <w:tc>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240" w:line="240" w:lineRule="auto"/>
                    <w:ind w:left="504" w:right="0" w:hanging="50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Review ALL expenditures in timeframe</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240" w:line="240" w:lineRule="auto"/>
                    <w:ind w:left="504" w:right="0" w:hanging="50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Review random sample with sufficient sample size (see “Random Sample Methodology” table above)</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240" w:line="240" w:lineRule="auto"/>
                    <w:ind w:left="504" w:right="0" w:hanging="50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Review random sample with smaller sample size</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240" w:line="240" w:lineRule="auto"/>
                    <w:ind w:left="504" w:right="0" w:hanging="50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Review non-random sample (state reason or purpose in space below)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12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12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24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24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24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Step Two: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 your sample from the population in accordance with your chosen sample method. One way to randomly select a sample is by completing the following steps:  The items in the population would be sequentially numbered.  If the desired sample size is 30 and the population is 150, 30 random numbers between 1 and 150 would be generated.  (The random numbers could be selected by using the random number function in Excel (randbetween(bottom,top)).  The 30 random numbers would be used to select a sample consisting of the corresponding numbered items in the population.</w:t>
            </w:r>
          </w:p>
          <w:tbl>
            <w:tblPr>
              <w:tblStyle w:val="Table17"/>
              <w:tblW w:w="8807.0" w:type="dxa"/>
              <w:jc w:val="left"/>
              <w:tblInd w:w="1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07"/>
              <w:tblGridChange w:id="0">
                <w:tblGrid>
                  <w:gridCol w:w="8807"/>
                </w:tblGrid>
              </w:tblGridChange>
            </w:tblGrid>
            <w:tr>
              <w:trPr>
                <w:cantSplit w:val="0"/>
                <w:tblHeader w:val="0"/>
              </w:trPr>
              <w:tc>
                <w:tcPr/>
                <w:p w:rsidR="00000000" w:rsidDel="00000000" w:rsidP="00000000" w:rsidRDefault="00000000" w:rsidRPr="00000000" w14:paraId="00000134">
                  <w:pPr>
                    <w:widowControl w:val="0"/>
                    <w:rPr/>
                  </w:pPr>
                  <w:r w:rsidDel="00000000" w:rsidR="00000000" w:rsidRPr="00000000">
                    <w:rPr>
                      <w:b w:val="1"/>
                      <w:rtl w:val="0"/>
                    </w:rPr>
                    <w:t xml:space="preserve">Describe how you made your selection:</w:t>
                  </w:r>
                  <w:r w:rsidDel="00000000" w:rsidR="00000000" w:rsidRPr="00000000">
                    <w:rPr>
                      <w:rtl w:val="0"/>
                    </w:rPr>
                    <w:t xml:space="preserve">           </w:t>
                  </w:r>
                </w:p>
                <w:p w:rsidR="00000000" w:rsidDel="00000000" w:rsidP="00000000" w:rsidRDefault="00000000" w:rsidRPr="00000000" w14:paraId="00000135">
                  <w:pPr>
                    <w:widowControl w:val="0"/>
                    <w:rPr/>
                  </w:pPr>
                  <w:r w:rsidDel="00000000" w:rsidR="00000000" w:rsidRPr="00000000">
                    <w:rPr>
                      <w:rtl w:val="0"/>
                    </w:rPr>
                  </w:r>
                </w:p>
                <w:p w:rsidR="00000000" w:rsidDel="00000000" w:rsidP="00000000" w:rsidRDefault="00000000" w:rsidRPr="00000000" w14:paraId="00000136">
                  <w:pPr>
                    <w:widowControl w:val="0"/>
                    <w:rPr/>
                  </w:pPr>
                  <w:r w:rsidDel="00000000" w:rsidR="00000000" w:rsidRPr="00000000">
                    <w:rPr>
                      <w:rtl w:val="0"/>
                    </w:rPr>
                  </w:r>
                </w:p>
              </w:tc>
            </w:tr>
          </w:tbl>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bl>
      <w:tblPr>
        <w:tblStyle w:val="Table18"/>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gridSpan w:val="2"/>
            <w:tcBorders>
              <w:bottom w:color="000000" w:space="0" w:sz="4" w:val="single"/>
            </w:tcBorders>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Answer the following questions based the documents, records and other information reviewed for questions 1 through 3 above.</w:t>
            </w:r>
          </w:p>
        </w:tc>
      </w:tr>
      <w:tr>
        <w:trPr>
          <w:cantSplit w:val="0"/>
          <w:trHeight w:val="773" w:hRule="atLeast"/>
          <w:tblHeader w:val="0"/>
        </w:trPr>
        <w:tc>
          <w:tcPr>
            <w:tcBorders>
              <w:bottom w:color="000000" w:space="0" w:sz="4" w:val="single"/>
            </w:tcBorders>
          </w:tcPr>
          <w:p w:rsidR="00000000" w:rsidDel="00000000" w:rsidP="00000000" w:rsidRDefault="00000000" w:rsidRPr="00000000" w14:paraId="0000014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pPr>
            <w:bookmarkStart w:colFirst="0" w:colLast="0" w:name="_heading=h.3dy6vkm"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the Subrecipient maintain source documentation that supports the information in the financial management system regarding DOH grant awards, authorizations, obligations, unobligated balances, assets, expenditures, income, and interest?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CFR 200.302(b)(3); CDBG Entitlement: 24 CFR 570.502(a); HOME: 24 CFR 92.505; HOPWA: 24 CFR 574.605; ESG: 24 CFR 576.407(c) and 24 CFR 576.500(u); CoC: 24 CFR 578.99(e) and 24 CFR 578.103(a)(15) (for grants awarded under the FY 2015 NOFA) or 578.103(a)(16) (for grants awarded under the FY 2016 NOFA or later)]</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9"/>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4" w:val="single"/>
            </w:tcBorders>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3" w:hRule="atLeast"/>
          <w:tblHeader w:val="0"/>
        </w:trPr>
        <w:tc>
          <w:tcPr>
            <w:tcBorders>
              <w:bottom w:color="000000" w:space="0" w:sz="4" w:val="single"/>
            </w:tcBorders>
          </w:tcPr>
          <w:p w:rsidR="00000000" w:rsidDel="00000000" w:rsidP="00000000" w:rsidRDefault="00000000" w:rsidRPr="00000000" w14:paraId="000001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the financial management system provide for effective control over, and accountability for, all funds, property, and other assets to ensure they are used solely for authorized purposes?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CFR 200.302(b)(4); CDBG Entitlement: 24 CFR 570.502(a); HOME: 24 CFR 92.505; HOPWA: 24 CFR 574.605; ESG: 24 CFR 576.407(c); CoC: 24 CFR 578.99(e)]</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0"/>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4" w:val="single"/>
            </w:tcBorders>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3" w:hRule="atLeast"/>
          <w:tblHeader w:val="0"/>
        </w:trPr>
        <w:tc>
          <w:tcPr>
            <w:tcBorders>
              <w:bottom w:color="000000" w:space="0" w:sz="4" w:val="single"/>
            </w:tcBorders>
          </w:tcPr>
          <w:p w:rsidR="00000000" w:rsidDel="00000000" w:rsidP="00000000" w:rsidRDefault="00000000" w:rsidRPr="00000000" w14:paraId="0000016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the financial management system provide for accurate, current, and complete disclosure of the financial results of each Federal award to assure compliance with applicable reporting requirements?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CFR 200.302(b)(2); CDBG Entitlement: 24 CFR 570.502(a); HOME: 24 CFR 92.505; HOPWA: 24 CFR 574.605; ESG: 24 CFR 576.407(c) and 24 CFR 576.500(u); CoC: 24 CFR 578.99(e) and 24 CFR 578.103(a)(15) (for grants awarded under the FY 2015 NOFA) or 578.103(a)(16) (for grants awarded under the FY 2016 NOFA or later)]</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1"/>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4" w:val="single"/>
            </w:tcBorders>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12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  I</w:t>
      </w: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NTERNAL CONTROLS</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120" w:lineRule="auto"/>
        <w:ind w:left="360" w:right="0" w:firstLine="0"/>
        <w:jc w:val="left"/>
        <w:rPr>
          <w:rFonts w:ascii="Times New Roman" w:cs="Times New Roman" w:eastAsia="Times New Roman" w:hAnsi="Times New Roman"/>
          <w:b w:val="0"/>
          <w:i w:val="0"/>
          <w:smallCaps w:val="1"/>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Subrecipient must establish and maintain effective internal control over the Federal award that provides reasonable assurance that the Subrecipient is managing the Federal award in compliance with Federal statutes, regulations, and the terms and conditions of the Federal award.  These internal controls should be in compliance with guidance in “Standards for Internal Control in the Federal Government” issued by the Comptroller General of the United States (known as the "Green Book") or the “Internal Control Integrated Framework”, issued by the Committee of Sponsoring Organizations of the Treadway Commission (COSO). However, Subrecipients, auditors, and HUD monitors are not required or expected to document or evaluate internal controls prescriptively in accordance with the Green Book or COSO. As explained by OMB, Subrecipients and their auditors must exercise judgment in determining the most appropriate and cost-effective internal control in a given environment or circumstance to provide reasonable assurance for compliance with Federal program requirements.</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12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evaluation of the effectiveness of the Subrecipient's internal control system must cover a broad range of considerations.  Many of the considerations addressed in the review are covered by questions in other monitoring Exhibits (e.g., exhibits on procurement, cost principles, and specific programs).  Further, the audit requirements in Subpart F of part 200 include procedures to evaluate the auditee's internal control system.  Therefore, the questions below are limited to those areas not specifically addressed elsewhere.  However, if other monitoring reviews disclose frequent violations of applicable requirements, or an audit is not required to be performed under Subpart F, the DOH reviewer should take these considerations into account, together with the questions below, in making an overall assessment of the adequacy of the recipient’s internal controls. For more information on internal controls, please refer to the most recent version of Compliance Supplement available on the OMB web site.</w:t>
      </w: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5.</w:t>
      </w:r>
    </w:p>
    <w:tbl>
      <w:tblPr>
        <w:tblStyle w:val="Table22"/>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Has the Subrecipient performed a self-assessment of its internal control system?</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CFR 200.303(a); CDBG Entitlement: 24 CFR 570.502(a); HOME: 24 CFR 92.505; HOPWA: 24 CFR 574.605; ESG: 24 CFR 576.407(c); CoC: 24 CFR 578.99(e)]</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3"/>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3" w:hRule="atLeast"/>
          <w:tblHeader w:val="0"/>
        </w:trPr>
        <w:tc>
          <w:tcPr>
            <w:gridSpan w:val="2"/>
            <w:tcBorders>
              <w:bottom w:color="000000" w:space="0" w:sz="4" w:val="single"/>
            </w:tcBorders>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773" w:hRule="atLeast"/>
          <w:tblHeader w:val="0"/>
        </w:trPr>
        <w:tc>
          <w:tcPr>
            <w:tcBorders>
              <w:bottom w:color="000000" w:space="0" w:sz="4" w:val="single"/>
            </w:tcBorders>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Does the Subrecipient take reasonable measures to safeguard protected personally identifiable information (PII) and other information that DOH or a pass-through entity designates as sensitive, or the Subrecipient considers sensitive, consistent with applicable Federal, state, local, and tribal laws regarding privacy and obligations of confidentiality?  Check to see whether the Subrecipient has a written policy on protecting PII and other information.</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CFR 200.303(e); CDBG Entitlement: 24 CFR 570.502(a); HOME: 24 CFR 92.505; HOPWA: 24 CFR 574.605; ESG: 24 CFR 576.407(c) and 24 CFR 576.500(x); CoC: 24 CFR 578.99(e)]</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4"/>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3" w:hRule="atLeast"/>
          <w:tblHeader w:val="0"/>
        </w:trPr>
        <w:tc>
          <w:tcPr>
            <w:gridSpan w:val="2"/>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773" w:hRule="atLeast"/>
          <w:tblHeader w:val="0"/>
        </w:trPr>
        <w:tc>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hanging="3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Does the Subrecipient have an organization chart or other documentation that establishes the actual lines of responsibility for HUD awards?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hanging="3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hanging="3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CFR 200.303(a); CDBG Entitlement: 24 CFR 570.502(a); HOME: 24 CFR 92.505; HOPWA: 24 CFR 574.605; ESG: 24 CFR 576.407(c); CoC: 24 CFR 578.99(e)]</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5"/>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3" w:hRule="atLeast"/>
          <w:tblHeader w:val="0"/>
        </w:trPr>
        <w:tc>
          <w:tcPr>
            <w:gridSpan w:val="2"/>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773" w:hRule="atLeast"/>
          <w:tblHeader w:val="0"/>
        </w:trPr>
        <w:tc>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hanging="3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Does the documentation supporting budgets and expenditures under the award(s) review include dated signatures or other evidence showing an appropriate, authorized person (e.g., program manager or technical reviewer) confirmed both the budgeted amounts and expenditures were for authorized purposes and complied with applicable requirements?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hanging="3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CFR 200.303(a); CDBG Entitlement: 24 CFR 570.502(a); HOME: 24 CFR 92.505; HOPWA: 24 CFR 574.605; ESG: 24 CFR 576.407(c) and 24 CFR 576.500(u); CoC: 24 CFR 578.99(e) and 24 CFR 578.103(a)(15) (for grants awarded under the FY 2015 NOFA) or 578.103(a)(16) (for grants awarded under the FY 2016 NOFA or later)]</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6"/>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3" w:hRule="atLeast"/>
          <w:tblHeader w:val="0"/>
        </w:trPr>
        <w:tc>
          <w:tcPr>
            <w:gridSpan w:val="2"/>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773" w:hRule="atLeast"/>
          <w:tblHeader w:val="0"/>
        </w:trPr>
        <w:tc>
          <w:tcPr>
            <w:tcBorders>
              <w:bottom w:color="000000" w:space="0" w:sz="4" w:val="single"/>
            </w:tcBorders>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hanging="3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Do the Subrecipient's procedures preclude one person from issuing purchase orders, receiving merchandise, and approving payment vouchers?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hanging="3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bottom w:color="000000" w:space="0" w:sz="4" w:val="single"/>
            </w:tcBorders>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7"/>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3" w:hRule="atLeast"/>
          <w:tblHeader w:val="0"/>
        </w:trPr>
        <w:tc>
          <w:tcPr>
            <w:tcBorders>
              <w:bottom w:color="000000" w:space="0" w:sz="4" w:val="single"/>
            </w:tcBorders>
          </w:tcPr>
          <w:p w:rsidR="00000000" w:rsidDel="00000000" w:rsidP="00000000" w:rsidRDefault="00000000" w:rsidRPr="00000000" w14:paraId="000001C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the procedures preclude the person who prepares and records the budget in the financial management system and payment systems of record from executing or issuing payments?</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8"/>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3" w:hRule="atLeast"/>
          <w:tblHeader w:val="0"/>
        </w:trPr>
        <w:tc>
          <w:tcPr>
            <w:tcBorders>
              <w:bottom w:color="000000" w:space="0" w:sz="4" w:val="single"/>
            </w:tcBorders>
          </w:tcPr>
          <w:p w:rsidR="00000000" w:rsidDel="00000000" w:rsidP="00000000" w:rsidRDefault="00000000" w:rsidRPr="00000000" w14:paraId="000001D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duties and responsibilities segregated (to the extent practicable) so that no one individual has complete authority over a financial transaction?</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CFR 200.303(a); CDBG Entitlement: 24 CFR 570.502(a); HOME: 24 CFR 92.505; HOPWA: 24 CFR 574.605; ESG: 24 CFR 576.407(c); CoC: 24 CFR 578.99(e)]</w:t>
            </w:r>
          </w:p>
        </w:tc>
        <w:tc>
          <w:tcPr>
            <w:tcBorders>
              <w:bottom w:color="000000" w:space="0" w:sz="4" w:val="single"/>
            </w:tcBorders>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9"/>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3" w:hRule="atLeast"/>
          <w:tblHeader w:val="0"/>
        </w:trPr>
        <w:tc>
          <w:tcPr>
            <w:gridSpan w:val="2"/>
            <w:tcBorders>
              <w:bottom w:color="000000" w:space="0" w:sz="4" w:val="single"/>
            </w:tcBorders>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1E1">
      <w:pPr>
        <w:widowControl w:val="0"/>
        <w:tabs>
          <w:tab w:val="left" w:pos="720"/>
          <w:tab w:val="left" w:pos="1440"/>
          <w:tab w:val="left" w:pos="2160"/>
          <w:tab w:val="left" w:pos="2880"/>
          <w:tab w:val="left" w:pos="3600"/>
          <w:tab w:val="center" w:pos="4320"/>
          <w:tab w:val="left" w:pos="5040"/>
          <w:tab w:val="left" w:pos="5760"/>
          <w:tab w:val="left" w:pos="6480"/>
          <w:tab w:val="right" w:pos="8640"/>
        </w:tabs>
        <w:rPr>
          <w:smallCaps w:val="1"/>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NOTE: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Further internal controls questions appear in Section E (Improper Payments) below.</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50"/>
          <w:tab w:val="center" w:pos="5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1"/>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D.  PAYMENT AND FINANCIAL REPORTING</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12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288" w:right="0" w:hanging="2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0"/>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If the Subrecipient requests funds in advance, does it minimize the time elapsing between the transfer of funds from disbursement by DOH to the direct program or project costs and the proportionate share of any allowable indirect costs; and are the advance payments limited to the minimum amounts needed and timed to be in accordance with the actual, immediate cash requirements of the Subrecipient in carrying out the purpose of the approved project or program?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7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7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timing and amount of advance payments must be as close as is administratively feasible to the actual disbursements by the Subrecipient.</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7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CFR 200.305(b)(1) CDBG Entitlement: 24 CFR 570.502(a); HOPWA: 24 CFR 574.605; ESG: 24 CFR 576.407(c); CoC: 24 CFR 578.99(e)]</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1"/>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1"/>
          <w:tblHeader w:val="0"/>
        </w:trPr>
        <w:tc>
          <w:tcPr>
            <w:gridSpan w:val="2"/>
            <w:tcBorders>
              <w:top w:color="000000" w:space="0" w:sz="0" w:val="nil"/>
            </w:tcBorders>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12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2"/>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1F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Subrecipient held cash advances in excess of three business days, has the Subrecipient provided sufficient justification?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Holding cash advances for a period longer than three business days is not a violation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 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is a preliminary screening measure to determine whether further explanation is required.</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3"/>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4" w:val="single"/>
            </w:tcBorders>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12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12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4"/>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8"/>
        <w:gridCol w:w="1622"/>
        <w:tblGridChange w:id="0">
          <w:tblGrid>
            <w:gridCol w:w="7368"/>
            <w:gridCol w:w="1622"/>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21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the Subrecipient disburse funds available from program income (including repayments to a revolving fund), rebates, refunds, contract settlements, audit recoveries, and interest earned on such funds before requesting additional cash advance payments?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question does not apply to the HOME Program.</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CFR 200.305(b)(5); CDBG Entitlement: 24 CFR 570.502(a) and 24 CFR 570.504(b); HOME: 92.503(a) and 92.505; HOPWA: 24 CFR 574.605; ESG: 24 CFR 576.407(c); CoC: 24 CFR 578.99(e)]</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5"/>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3" w:hRule="atLeast"/>
          <w:tblHeader w:val="0"/>
        </w:trPr>
        <w:tc>
          <w:tcPr>
            <w:tcBorders>
              <w:bottom w:color="000000" w:space="0" w:sz="4" w:val="single"/>
            </w:tcBorders>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bottom w:color="000000" w:space="0" w:sz="4" w:val="single"/>
            </w:tcBorders>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3" w:hRule="atLeast"/>
          <w:tblHeader w:val="0"/>
        </w:trPr>
        <w:tc>
          <w:tcPr>
            <w:tcBorders>
              <w:bottom w:color="000000" w:space="0" w:sz="4" w:val="single"/>
            </w:tcBorders>
          </w:tcPr>
          <w:p w:rsidR="00000000" w:rsidDel="00000000" w:rsidP="00000000" w:rsidRDefault="00000000" w:rsidRPr="00000000" w14:paraId="0000022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advance payments of HUD funds deposited and maintained in insured accounts whenever possible?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CFR 200.305(b)(7)(ii); CDBG Entitlement: 24 CFR 570.502(a); HOME: 24 CFR 92.505; HOPWA: 24 CFR 574.605; ESG: 24 CFR 576.407(c); CoC: 24 CFR 578.99(e)]]</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6"/>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3" w:hRule="atLeast"/>
          <w:tblHeader w:val="0"/>
        </w:trPr>
        <w:tc>
          <w:tcPr>
            <w:tcBorders>
              <w:bottom w:color="000000" w:space="0" w:sz="4" w:val="single"/>
            </w:tcBorders>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3" w:hRule="atLeast"/>
          <w:tblHeader w:val="0"/>
        </w:trPr>
        <w:tc>
          <w:tcPr>
            <w:tcBorders>
              <w:bottom w:color="000000" w:space="0" w:sz="4" w:val="single"/>
            </w:tcBorders>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(i) If the Subrecipient receives grant advances, does it maintain its advance payments in an interest-bearing account?</w:t>
            </w:r>
          </w:p>
        </w:tc>
        <w:tc>
          <w:tcPr>
            <w:tcBorders>
              <w:bottom w:color="000000" w:space="0" w:sz="4" w:val="single"/>
            </w:tcBorders>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7"/>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3" w:hRule="atLeast"/>
          <w:tblHeader w:val="0"/>
        </w:trPr>
        <w:tc>
          <w:tcPr>
            <w:tcBorders>
              <w:bottom w:color="000000" w:space="0" w:sz="4" w:val="single"/>
            </w:tcBorders>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(ii) If not, does one of the following apply?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Subrecipient receives less than $120,000 in Federal awards per year.</w:t>
            </w:r>
          </w:p>
          <w:p w:rsidR="00000000" w:rsidDel="00000000" w:rsidP="00000000" w:rsidRDefault="00000000" w:rsidRPr="00000000" w14:paraId="000002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best reasonably available interest-bearing account would not be expected to earn interest in excess of $500 per year on Federal cash balances.</w:t>
            </w:r>
          </w:p>
          <w:p w:rsidR="00000000" w:rsidDel="00000000" w:rsidP="00000000" w:rsidRDefault="00000000" w:rsidRPr="00000000" w14:paraId="000002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depository would require an average or minimum balance so high that it would not be feasible within the expected Federal and non-Federal cash resources.</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CFR 200.305(b)(8); CDBG Entitlement: 24 CFR 570.502(a); HOME: 24 CFR 92.505; HOPWA: 24 CFR 574.605; ESG: 24 CFR 576.407(c); CoC: 24 CFR 578.99(e)]</w:t>
            </w:r>
          </w:p>
        </w:tc>
        <w:tc>
          <w:tcPr>
            <w:tcBorders>
              <w:bottom w:color="000000" w:space="0" w:sz="4" w:val="single"/>
            </w:tcBorders>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8"/>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1"/>
          <w:tblHeader w:val="0"/>
        </w:trPr>
        <w:tc>
          <w:tcPr>
            <w:gridSpan w:val="2"/>
            <w:tcBorders>
              <w:top w:color="000000" w:space="0" w:sz="0" w:val="nil"/>
            </w:tcBorders>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12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432" w:right="0" w:hanging="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9"/>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grant advances are deposited into an interest-bearing account, have provisions been made for remitting interest income in excess of $500 annually to the Department of Health and Human Services Payment Management System (PMS) through an electronic medium using either the Automated Clearing House (ACH) network or a Fedwire Funds Service payment?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CFR 200.305(b)(9); CDBG Entitlement: 24 CFR 570.502(a); HOME: 24 CFR 92.502(c)(2); HOPWA: 24 CFR 574.605; ESG: 24 CFR 576.407(c); CoC: 24 CFR 578.99(e)]</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0"/>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4" w:val="single"/>
            </w:tcBorders>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120" w:lineRule="auto"/>
        <w:ind w:left="360" w:right="0" w:firstLine="0"/>
        <w:jc w:val="left"/>
        <w:rPr>
          <w:rFonts w:ascii="Times New Roman" w:cs="Times New Roman" w:eastAsia="Times New Roman" w:hAnsi="Times New Roman"/>
          <w:b w:val="0"/>
          <w:i w:val="0"/>
          <w:smallCaps w:val="1"/>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  IMPROPER PAYMENTS</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“Improper payment” means any payment that should not have been made or that was made in an incorrect amount (including overpayments and underpayments) under statutory, contractual, administrative, or other legally applicable requirements and includes any payment to an ineligible party, any payment for an ineligible good or service, any duplicate payment, any payment for a good or service not received (except for such payments where authorized by law), any payment that does not account for credit for applicable discounts, and any payment where insufficient or lack of documentation prevents a reviewer from discerning whether a payment was proper.  As noted above in section B (Internal Controls), this section provides further internal controls questions concerning the Subrecipient’s prevention, detection, and correction of improper payments. Sampling and testing of expenditures for compliance with the requirements separating improper payments from allowable costs are addressed elsewhere in this exhibit (e.g., section A, above), chapter 34 (Cost Allowability, Procurement) and the program chapters (e.g., eligible activities exhibits).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41"/>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2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there documentation or other evidence that the Subrecipient conducted procedures to detect or safeguard against duplicate or other improper payments, if and as specified in the Subrecipient’s written internal control procedures?</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hanging="3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CFR 200.302(b)(4) and 2 CFR 200.303(a); CDBG Entitlement: 24 CFR 570.502(a); HOME: 24 CFR 92.505 and 92.508(a)(3); HOPWA: 24 CFR 574.605; ESG: 24 CFR 576.407(c); CoC: 24 CFR 578.99(e)]</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hanging="3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2"/>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4" w:val="single"/>
            </w:tcBorders>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3" w:hRule="atLeast"/>
          <w:tblHeader w:val="0"/>
        </w:trPr>
        <w:tc>
          <w:tcPr>
            <w:tcBorders>
              <w:bottom w:color="000000" w:space="0" w:sz="4" w:val="single"/>
            </w:tcBorders>
          </w:tcPr>
          <w:p w:rsidR="00000000" w:rsidDel="00000000" w:rsidP="00000000" w:rsidRDefault="00000000" w:rsidRPr="00000000" w14:paraId="000002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Subrecipient’s monitoring or audit documents identified improper payments or other instances of non-compliance, did the Subrecipient take prompt and appropriate corrective action(s)?</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hanging="3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CFR 200.302(b)(4) and 2 CFR 200.303(d); CDBG Entitlement: 24 CFR 570.502(a); HOME: 24 CFR 92.504 and 92.505; HOPWA: 24 CFR 574.605; ESG: 24 CFR 576.407(c); CoC: 24 CFR 578.99(e)]</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hanging="3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3"/>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4" w:val="single"/>
            </w:tcBorders>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hanging="36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F.   MATCH.</w:t>
      </w:r>
      <w:r w:rsidDel="00000000" w:rsidR="00000000" w:rsidRPr="00000000">
        <w:rPr>
          <w:rtl w:val="0"/>
        </w:rPr>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hanging="36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10.</w:t>
      </w:r>
    </w:p>
    <w:tbl>
      <w:tblPr>
        <w:tblStyle w:val="Table44"/>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contributions meet matching requirements including cash and third party in-kind contributions, meet all of the following criteria:</w:t>
            </w:r>
          </w:p>
          <w:p w:rsidR="00000000" w:rsidDel="00000000" w:rsidP="00000000" w:rsidRDefault="00000000" w:rsidRPr="00000000" w14:paraId="0000028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verifiable from the Subrecipient's records;</w:t>
            </w:r>
          </w:p>
          <w:p w:rsidR="00000000" w:rsidDel="00000000" w:rsidP="00000000" w:rsidRDefault="00000000" w:rsidRPr="00000000" w14:paraId="0000028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55" w:right="0" w:hanging="9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not included as contributions for any other Federal award;</w:t>
            </w:r>
          </w:p>
          <w:p w:rsidR="00000000" w:rsidDel="00000000" w:rsidP="00000000" w:rsidRDefault="00000000" w:rsidRPr="00000000" w14:paraId="0000028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5"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necessary and reasonable for accomplishment of project or program objectives;</w:t>
            </w:r>
          </w:p>
          <w:p w:rsidR="00000000" w:rsidDel="00000000" w:rsidP="00000000" w:rsidRDefault="00000000" w:rsidRPr="00000000" w14:paraId="0000028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allowable under Subpart E—Cost Principles;</w:t>
            </w:r>
          </w:p>
          <w:p w:rsidR="00000000" w:rsidDel="00000000" w:rsidP="00000000" w:rsidRDefault="00000000" w:rsidRPr="00000000" w14:paraId="0000029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5" w:right="0" w:hanging="365"/>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not paid by the Federal Government under another Federal award, except as authorized by Federal statute;</w:t>
            </w:r>
          </w:p>
          <w:p w:rsidR="00000000" w:rsidDel="00000000" w:rsidP="00000000" w:rsidRDefault="00000000" w:rsidRPr="00000000" w14:paraId="0000029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5" w:right="0" w:hanging="365"/>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provided for in the approved budget when required by HUD; and</w:t>
            </w:r>
          </w:p>
          <w:p w:rsidR="00000000" w:rsidDel="00000000" w:rsidP="00000000" w:rsidRDefault="00000000" w:rsidRPr="00000000" w14:paraId="0000029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Conform to other provisions of 2 CFR part 200, as applicable?</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Criterion (e) above does not apply to the CoC Program.</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CFR 200.306(b); CoC: 24 CFR 578.73, 24 CFR 578.99(e)]</w:t>
            </w:r>
          </w:p>
        </w:tc>
        <w:tc>
          <w:tcPr>
            <w:tcBorders>
              <w:bottom w:color="000000" w:space="0" w:sz="4" w:val="single"/>
            </w:tcBorders>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5"/>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120" w:lineRule="auto"/>
        <w:ind w:left="360" w:right="0" w:firstLine="0"/>
        <w:jc w:val="left"/>
        <w:rPr>
          <w:rFonts w:ascii="Times New Roman" w:cs="Times New Roman" w:eastAsia="Times New Roman" w:hAnsi="Times New Roman"/>
          <w:b w:val="0"/>
          <w:i w:val="0"/>
          <w:smallCaps w:val="1"/>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G.  PROGRAM INCOME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1"/>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bl>
      <w:tblPr>
        <w:tblStyle w:val="Table46"/>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revenue-generating activities are being undertaken, has the Subrecipient established revenue accounts in its accounting records to record program income?</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CFR 200.302(b)(3); CDBG Entitlement: 24 CFR 570.502(a)(3) and 24 CFR 570.504(a); HOME: 24 CFR 92.505; HOPWA: 24 CFR 574.605; ESG: 24 CFR 576.407(c) and 24 CFR 576.500(u); CoC: 24 CFR 578.99(e), 24 CFR 578.103(a)(15) (for grants awarded under the FY 2015 NOFA) or 578.103(a)(16) (for grants awarded under the FY 2016 NOFA or later)]</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7"/>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4" w:val="single"/>
            </w:tcBorders>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120" w:lineRule="auto"/>
        <w:ind w:left="360" w:right="0" w:firstLine="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  REVISION OF BUDGET AND PROGRAM PLANS.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p>
    <w:tbl>
      <w:tblPr>
        <w:tblStyle w:val="Table48"/>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275" w:right="0" w:hanging="2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Have any changes to the approved project’s budget, scope, or objectives been identified as compared to the submitted application?  </w:t>
            </w:r>
          </w:p>
        </w:tc>
        <w:tc>
          <w:tcPr>
            <w:tcBorders>
              <w:bottom w:color="000000" w:space="0" w:sz="4" w:val="single"/>
            </w:tcBorders>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9"/>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4" w:val="single"/>
            </w:tcBorders>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12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0"/>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5"/>
                <w:tab w:val="left" w:pos="2160"/>
                <w:tab w:val="left" w:pos="2880"/>
                <w:tab w:val="left" w:pos="3600"/>
                <w:tab w:val="left" w:pos="5040"/>
                <w:tab w:val="left" w:pos="5760"/>
                <w:tab w:val="left" w:pos="6480"/>
              </w:tabs>
              <w:spacing w:after="0" w:before="0" w:line="240" w:lineRule="auto"/>
              <w:ind w:left="3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If the Subrecipient made one or more of the following changes with respect to an award, did the Subrecipient obtain prior approval from DOH for those changes?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635"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Change in the scope or the objective of the project or program (even if there is no associated budget revision requiring prior written approval).</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63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The disengagement from the project for more than three months, or a 25 percent reduction in time devoted to the project, by the approved project director or principal investigator.</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635"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Changes in the approved cost sharing or matching provided by the Subrecipient.</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8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vii. The need arises for additional Federal funds to complete the project.</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CFR 200.308(c)(1); HOPWA: 24 CFR 574.605;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CoC: 24 CFR 578.99(e); and 24 CFR 578.105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1"/>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4" w:val="single"/>
            </w:tcBorders>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120" w:lineRule="auto"/>
        <w:ind w:left="360" w:right="0" w:firstLine="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1"/>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1"/>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I.  PERIOD OF PERFORMANCE</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1"/>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p>
    <w:tbl>
      <w:tblPr>
        <w:tblStyle w:val="Table52"/>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the recipient charged to the DOH award only allowable costs incurred during the period of performance and authorized pre-award costs?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CFR 200.309; CDBG Entitlement: 24 CFR 570.502(a); HOME: 24 CFR 92.505; HOPWA: 24 CFR 574.605; ESG: 24 CFR 576.407(c); CoC: 24 CFR 578.99(e)]</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3"/>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4" w:val="single"/>
            </w:tcBorders>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120" w:lineRule="auto"/>
        <w:ind w:left="360" w:right="0" w:hanging="360"/>
        <w:jc w:val="left"/>
        <w:rPr>
          <w:rFonts w:ascii="Times New Roman" w:cs="Times New Roman" w:eastAsia="Times New Roman" w:hAnsi="Times New Roman"/>
          <w:b w:val="0"/>
          <w:i w:val="0"/>
          <w:smallCaps w:val="1"/>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1"/>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J.  RECORD RETENTION AND ACCESS</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14.</w:t>
      </w:r>
    </w:p>
    <w:tbl>
      <w:tblPr>
        <w:tblStyle w:val="Table54"/>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 programs covered by the record retention requirements of 2 CFR part 200,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does the Subrecipient comply with the record retention and access requirements of §§200.333 , 200.336, and the program-specific record retention requirements?</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requirements of 2 CFR 200.333 are not applicable to the HOME or HOPWA Programs.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CFR 200.333 and 2 CFR 200.336; CDBG Entitlement: 24 CFR 570.502(a)(7); HOME: 24 CFR 92.505 and 24 CFR 92.508; HOPWA: 24 CFR 574.530 and 24 CFR 574.605; ESG: 24 CFR 576.407(c) and 24 CFR 576.500(y); CoC: 24 CFR 578.99(e), 24 CFR 578.103(c) and 24 CFR 578.103(d)]</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5"/>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4" w:val="single"/>
            </w:tcBorders>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120" w:lineRule="auto"/>
        <w:ind w:left="360" w:right="0" w:hanging="360"/>
        <w:jc w:val="left"/>
        <w:rPr>
          <w:rFonts w:ascii="Times New Roman" w:cs="Times New Roman" w:eastAsia="Times New Roman" w:hAnsi="Times New Roman"/>
          <w:b w:val="0"/>
          <w:i w:val="0"/>
          <w:smallCaps w:val="1"/>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K.   AUDIT REQUIREMENTS </w:t>
      </w:r>
      <w:r w:rsidDel="00000000" w:rsidR="00000000" w:rsidRPr="00000000">
        <w:rPr>
          <w:rtl w:val="0"/>
        </w:rPr>
      </w:r>
    </w:p>
    <w:p w:rsidR="00000000" w:rsidDel="00000000" w:rsidP="00000000" w:rsidRDefault="00000000" w:rsidRPr="00000000" w14:paraId="0000030B">
      <w:pPr>
        <w:widowControl w:val="0"/>
        <w:spacing w:line="120" w:lineRule="auto"/>
        <w:rPr/>
      </w:pPr>
      <w:r w:rsidDel="00000000" w:rsidR="00000000" w:rsidRPr="00000000">
        <w:rPr>
          <w:rtl w:val="0"/>
        </w:rPr>
      </w:r>
    </w:p>
    <w:p w:rsidR="00000000" w:rsidDel="00000000" w:rsidP="00000000" w:rsidRDefault="00000000" w:rsidRPr="00000000" w14:paraId="0000030C">
      <w:pPr>
        <w:widowControl w:val="0"/>
        <w:ind w:left="360" w:firstLine="0"/>
        <w:jc w:val="both"/>
        <w:rPr/>
      </w:pPr>
      <w:r w:rsidDel="00000000" w:rsidR="00000000" w:rsidRPr="00000000">
        <w:rPr>
          <w:b w:val="1"/>
          <w:u w:val="single"/>
          <w:rtl w:val="0"/>
        </w:rPr>
        <w:t xml:space="preserve">Instructions</w:t>
      </w:r>
      <w:r w:rsidDel="00000000" w:rsidR="00000000" w:rsidRPr="00000000">
        <w:rPr>
          <w:b w:val="1"/>
          <w:rtl w:val="0"/>
        </w:rPr>
        <w:t xml:space="preserve">:</w:t>
      </w:r>
      <w:r w:rsidDel="00000000" w:rsidR="00000000" w:rsidRPr="00000000">
        <w:rPr>
          <w:rtl w:val="0"/>
        </w:rPr>
        <w:t xml:space="preserve"> A Subrecipient that expends $750,000 or more in Federal awards during the Subrecipient’s fiscal year must have a single or program-specific audit conducted for that year in accordance with the provisions of Subpart F, </w:t>
      </w:r>
      <w:r w:rsidDel="00000000" w:rsidR="00000000" w:rsidRPr="00000000">
        <w:rPr>
          <w:i w:val="1"/>
          <w:rtl w:val="0"/>
        </w:rPr>
        <w:t xml:space="preserve">Audit Requirements</w:t>
      </w:r>
      <w:r w:rsidDel="00000000" w:rsidR="00000000" w:rsidRPr="00000000">
        <w:rPr>
          <w:rtl w:val="0"/>
        </w:rPr>
        <w:t xml:space="preserve">. This section of questions is designed to assist the DOH reviewer in determining whether the Subrecipient is in compliance with the required elements of an audits management system.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w:t>
      </w:r>
    </w:p>
    <w:tbl>
      <w:tblPr>
        <w:tblStyle w:val="Table56"/>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the Subrecipient (or any of its Sub-subrecipients) meet the annual expenditure threshold ($750,000) for having a single or program-specific audit conducted?  If “no,” skip questions 17 through 22.</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7"/>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1"/>
          <w:tblHeader w:val="0"/>
        </w:trPr>
        <w:tc>
          <w:tcPr>
            <w:gridSpan w:val="2"/>
            <w:tcBorders>
              <w:top w:color="000000" w:space="0" w:sz="0" w:val="nil"/>
            </w:tcBorders>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w:t>
      </w:r>
    </w:p>
    <w:tbl>
      <w:tblPr>
        <w:tblStyle w:val="Table58"/>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275" w:right="0" w:hanging="2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Did the auditee procure or arrange for the audit services in accordance with the procurement standards at 2 CFR 200.317 – 200.326?  </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275" w:right="0" w:hanging="2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2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CFR 200.508(a) and 2 CFR 200.509; CDBG Entitlement: 24 CFR 570.502(a); State CDBG: 24 CFR 570.489(n); HOME: 24 CFR 92.505; HOPWA: 24 CFR 574.650; ESG: 24 CFR 576.407(c); CoC: 24 CFR 578.99(e) and 24 CFR 578.99(g)]</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2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9"/>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3" w:hRule="atLeast"/>
          <w:tblHeader w:val="0"/>
        </w:trPr>
        <w:tc>
          <w:tcPr>
            <w:gridSpan w:val="2"/>
            <w:tcBorders>
              <w:bottom w:color="000000" w:space="0" w:sz="4" w:val="single"/>
            </w:tcBorders>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773" w:hRule="atLeast"/>
          <w:tblHeader w:val="0"/>
        </w:trPr>
        <w:tc>
          <w:tcPr>
            <w:tcBorders>
              <w:bottom w:color="000000" w:space="0" w:sz="4" w:val="single"/>
            </w:tcBorders>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275" w:right="0" w:hanging="2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Did the request for proposal for audit services clearly state the objectives and scope of the audit and request a copy of the audit organization's peer review report which the auditor is required to provide under Generally Accepted Government Auditing Standards (GAGAS)?  </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275" w:right="0" w:hanging="2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275" w:right="0" w:hanging="2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CFR 200.509(a); CDBG Entitlement: 24 CFR 570.502(a); State CDBG: 24 CFR 570.489(n); HOME: 24 CFR 92.505; HOPWA: 24 CFR 574.650; ESG: 24 CFR 576.407(c); CoC: 24 CFR 578.99(e) and 24 CFR 578.99(g)]</w:t>
            </w:r>
          </w:p>
        </w:tc>
        <w:tc>
          <w:tcPr>
            <w:tcBorders>
              <w:bottom w:color="000000" w:space="0" w:sz="4" w:val="single"/>
            </w:tcBorders>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0"/>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3" w:hRule="atLeast"/>
          <w:tblHeader w:val="0"/>
        </w:trPr>
        <w:tc>
          <w:tcPr>
            <w:gridSpan w:val="2"/>
            <w:tcBorders>
              <w:bottom w:color="000000" w:space="0" w:sz="4" w:val="single"/>
            </w:tcBorders>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773" w:hRule="atLeast"/>
          <w:tblHeader w:val="0"/>
        </w:trPr>
        <w:tc>
          <w:tcPr>
            <w:tcBorders>
              <w:bottom w:color="000000" w:space="0" w:sz="4" w:val="single"/>
            </w:tcBorders>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275" w:right="0" w:hanging="2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Did the factors to be considered in evaluating the proposal for audit services include the responsiveness to the request for proposal, relevant experience, availability of staff with professional qualifications and technical abilities, the results of peer and external quality control reviews, and price?  </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275" w:right="0" w:hanging="2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275" w:right="0" w:hanging="2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CFR 200.509(a); CDBG Entitlement: 24 CFR 570.502(a); State CDBG: 24 CFR 570.489(n); HOME: 24 CFR 92.505; HOPWA: 24 CFR 574.650; ESG: 24 CFR 576.407(c); CoC: 24 CFR 578.99(e) and 24 CFR 578.99(g)]</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275" w:right="0" w:hanging="2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1"/>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3" w:hRule="atLeast"/>
          <w:tblHeader w:val="0"/>
        </w:trPr>
        <w:tc>
          <w:tcPr>
            <w:gridSpan w:val="2"/>
            <w:tcBorders>
              <w:bottom w:color="000000" w:space="0" w:sz="4" w:val="single"/>
            </w:tcBorders>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773" w:hRule="atLeast"/>
          <w:tblHeader w:val="0"/>
        </w:trPr>
        <w:tc>
          <w:tcPr>
            <w:tcBorders>
              <w:bottom w:color="000000" w:space="0" w:sz="4" w:val="single"/>
            </w:tcBorders>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275" w:right="0" w:hanging="2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Did the auditee make positive efforts to utilize small businesses, minority-owned firms, and women's business enterprises, in procuring audit services as stated in §200.321,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Contracting with small and minority businesses, women's business enterprises, and labor surplus area firms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275" w:right="0" w:hanging="2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275" w:right="0" w:hanging="2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CFR 200.509(a); CDBG Entitlement: 24 CFR 570.502(a); State CDBG: 24 CFR 570.489(n); HOME: 24 CFR 92.505; HOPWA: 24 CFR 574.650; ESG: 24 CFR 576.407(c); CoC: 24 CFR 578.99(e) and 24 CFR 578.99(g)]</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275" w:right="0" w:hanging="2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2"/>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3" w:hRule="atLeast"/>
          <w:tblHeader w:val="0"/>
        </w:trPr>
        <w:tc>
          <w:tcPr>
            <w:gridSpan w:val="2"/>
            <w:tcBorders>
              <w:bottom w:color="000000" w:space="0" w:sz="4" w:val="single"/>
            </w:tcBorders>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12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bl>
      <w:tblPr>
        <w:tblStyle w:val="Table63"/>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 the auditee prepare financial statements, including the schedule of expenditures of Federal awards, required by 2 CFR 200.510?</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CFR 200.508(b); CDBG Entitlement: 24 CFR 570.502; State CDBG: 24 CFR 570.489(n); HOME: 24 CFR 92.505; HOPWA: 24 CFR 574.650; ESG: 24 CFR 576.407(c); CoC: 24 CFR 578.99(e) and 24 CFR 578.99(g)]</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4"/>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1"/>
          <w:tblHeader w:val="0"/>
        </w:trPr>
        <w:tc>
          <w:tcPr>
            <w:gridSpan w:val="2"/>
            <w:tcBorders>
              <w:top w:color="000000" w:space="0" w:sz="0" w:val="nil"/>
            </w:tcBorders>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6F">
      <w:pPr>
        <w:widowControl w:val="0"/>
        <w:rPr/>
      </w:pPr>
      <w:r w:rsidDel="00000000" w:rsidR="00000000" w:rsidRPr="00000000">
        <w:rPr>
          <w:rtl w:val="0"/>
        </w:rPr>
      </w:r>
    </w:p>
    <w:p w:rsidR="00000000" w:rsidDel="00000000" w:rsidP="00000000" w:rsidRDefault="00000000" w:rsidRPr="00000000" w14:paraId="00000370">
      <w:pPr>
        <w:widowControl w:val="0"/>
        <w:rPr/>
      </w:pPr>
      <w:r w:rsidDel="00000000" w:rsidR="00000000" w:rsidRPr="00000000">
        <w:rPr>
          <w:rtl w:val="0"/>
        </w:rPr>
        <w:t xml:space="preserve">19.</w:t>
      </w:r>
    </w:p>
    <w:tbl>
      <w:tblPr>
        <w:tblStyle w:val="Table65"/>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 the auditee promptly follow up and take corrective action on audit findings, including preparation of a summary schedule of prior audit findings and a corrective action plan in accordance with 2 CFR 200.511(b) and 2 CFR 200.511(c), respectively?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CFR 200.303(d) and 2 CFR 200.508(c); CDBG Entitlement: 24 CFR 570.502(a); State CDBG: 24 CFR 570.489(n); HOME: 24 CFR 92.505; HOPWA: 24 CFR 574.650; ESG: 24 CFR 576.407(c); CoC: 24 CFR 578.99(e) and 24 CFR 578.99(g)]</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6"/>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4" w:val="single"/>
            </w:tcBorders>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81">
      <w:pPr>
        <w:widowControl w:val="0"/>
        <w:rPr/>
      </w:pPr>
      <w:r w:rsidDel="00000000" w:rsidR="00000000" w:rsidRPr="00000000">
        <w:rPr>
          <w:rtl w:val="0"/>
        </w:rPr>
      </w:r>
    </w:p>
    <w:p w:rsidR="00000000" w:rsidDel="00000000" w:rsidP="00000000" w:rsidRDefault="00000000" w:rsidRPr="00000000" w14:paraId="00000382">
      <w:pPr>
        <w:widowControl w:val="0"/>
        <w:rPr/>
      </w:pPr>
      <w:r w:rsidDel="00000000" w:rsidR="00000000" w:rsidRPr="00000000">
        <w:rPr>
          <w:rtl w:val="0"/>
        </w:rPr>
        <w:t xml:space="preserve">20.</w:t>
      </w:r>
    </w:p>
    <w:tbl>
      <w:tblPr>
        <w:tblStyle w:val="Table67"/>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383">
            <w:pPr>
              <w:widowControl w:val="0"/>
              <w:rPr/>
            </w:pPr>
            <w:r w:rsidDel="00000000" w:rsidR="00000000" w:rsidRPr="00000000">
              <w:rPr>
                <w:rtl w:val="0"/>
              </w:rPr>
              <w:t xml:space="preserve">Did the auditee electronically submit to the Federal Audit Clearinghouse the data collection form described in 2 CFR 200.512(b) and reporting package described in 2 CFR 200.512(c) within the earlier of 30 calendar days after receipt of the auditor's report(s), or nine months after the end of the audit period?</w:t>
            </w:r>
          </w:p>
          <w:p w:rsidR="00000000" w:rsidDel="00000000" w:rsidP="00000000" w:rsidRDefault="00000000" w:rsidRPr="00000000" w14:paraId="00000384">
            <w:pPr>
              <w:widowControl w:val="0"/>
              <w:rPr/>
            </w:pPr>
            <w:r w:rsidDel="00000000" w:rsidR="00000000" w:rsidRPr="00000000">
              <w:rPr>
                <w:rtl w:val="0"/>
              </w:rPr>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CFR 200.512(a) and 2 CFR 200.512(d); CDBG Entitlement: 24 CFR 570.502(a); State CDBG: 24 CFR 570.489(n); HOME: 24 CFR 92.505; HOPWA: 24 CFR 574.650; ESG: 24 CFR 576.407(c); CoC: 24 CFR 578.99(e) and 24 CFR 578.99(g)]</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8"/>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1"/>
          <w:tblHeader w:val="0"/>
        </w:trPr>
        <w:tc>
          <w:tcPr>
            <w:gridSpan w:val="2"/>
            <w:tcBorders>
              <w:top w:color="000000" w:space="0" w:sz="0" w:val="nil"/>
            </w:tcBorders>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bl>
      <w:tblPr>
        <w:tblStyle w:val="Table69"/>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the Subrecipient ensured that the DOH ESG award is charged no more than a reasonably proportionate share of the costs of audits required by, and performed in accordance with, Subpart F? </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[2 CFR 200.403(b) and 2 CFR 200.425(a); CDBG Entitlement: 24 CFR 570.502(a); State CDBG: 24 CFR 570.489(p); HOME: 24 CFR 92.505; HOPWA: 24 CFR 574.605; ESG: 24 CFR 576.407(c); CoC: 24 CFR 578.99(e) and 24 CFR 578.99(g)]</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0"/>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5" w:hRule="atLeast"/>
                <w:tblHeader w:val="0"/>
              </w:trPr>
              <w:tc>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431" w:hRule="atLeast"/>
          <w:tblHeader w:val="0"/>
        </w:trPr>
        <w:tc>
          <w:tcPr>
            <w:gridSpan w:val="2"/>
            <w:tcBorders>
              <w:bottom w:color="000000" w:space="0" w:sz="4" w:val="single"/>
            </w:tcBorders>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even"/>
      <w:footerReference r:id="rId9" w:type="default"/>
      <w:footerReference r:id="rId1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11/2020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11/2020</w:t>
      <w:tab/>
      <w:t xml:space="preserve">34-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Exhibit 34-1a</w:t>
      <w:tab/>
      <w:t xml:space="preserve">6509.2 REV-7 CHG-3 </w:t>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CFR Part 200</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6509.2 REV-7 CHG-3</w:t>
      <w:tab/>
      <w:t xml:space="preserve">           Exhibit 34-1a</w:t>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CFR Part 200</w:t>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6"/>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lowerLetter"/>
      <w:lvlText w:val="%1."/>
      <w:lvlJc w:val="left"/>
      <w:pPr>
        <w:ind w:left="365" w:hanging="360"/>
      </w:pPr>
      <w:rPr/>
    </w:lvl>
    <w:lvl w:ilvl="1">
      <w:start w:val="1"/>
      <w:numFmt w:val="lowerLetter"/>
      <w:lvlText w:val="%2."/>
      <w:lvlJc w:val="left"/>
      <w:pPr>
        <w:ind w:left="1085" w:hanging="360"/>
      </w:pPr>
      <w:rPr/>
    </w:lvl>
    <w:lvl w:ilvl="2">
      <w:start w:val="1"/>
      <w:numFmt w:val="lowerRoman"/>
      <w:lvlText w:val="%3."/>
      <w:lvlJc w:val="right"/>
      <w:pPr>
        <w:ind w:left="1805" w:hanging="180"/>
      </w:pPr>
      <w:rPr/>
    </w:lvl>
    <w:lvl w:ilvl="3">
      <w:start w:val="1"/>
      <w:numFmt w:val="decimal"/>
      <w:lvlText w:val="%4."/>
      <w:lvlJc w:val="left"/>
      <w:pPr>
        <w:ind w:left="2525" w:hanging="360"/>
      </w:pPr>
      <w:rPr/>
    </w:lvl>
    <w:lvl w:ilvl="4">
      <w:start w:val="1"/>
      <w:numFmt w:val="lowerLetter"/>
      <w:lvlText w:val="%5."/>
      <w:lvlJc w:val="left"/>
      <w:pPr>
        <w:ind w:left="3245" w:hanging="360"/>
      </w:pPr>
      <w:rPr/>
    </w:lvl>
    <w:lvl w:ilvl="5">
      <w:start w:val="1"/>
      <w:numFmt w:val="lowerRoman"/>
      <w:lvlText w:val="%6."/>
      <w:lvlJc w:val="right"/>
      <w:pPr>
        <w:ind w:left="3965" w:hanging="180"/>
      </w:pPr>
      <w:rPr/>
    </w:lvl>
    <w:lvl w:ilvl="6">
      <w:start w:val="1"/>
      <w:numFmt w:val="decimal"/>
      <w:lvlText w:val="%7."/>
      <w:lvlJc w:val="left"/>
      <w:pPr>
        <w:ind w:left="4685" w:hanging="360"/>
      </w:pPr>
      <w:rPr/>
    </w:lvl>
    <w:lvl w:ilvl="7">
      <w:start w:val="1"/>
      <w:numFmt w:val="lowerLetter"/>
      <w:lvlText w:val="%8."/>
      <w:lvlJc w:val="left"/>
      <w:pPr>
        <w:ind w:left="5405" w:hanging="360"/>
      </w:pPr>
      <w:rPr/>
    </w:lvl>
    <w:lvl w:ilvl="8">
      <w:start w:val="1"/>
      <w:numFmt w:val="lowerRoman"/>
      <w:lvlText w:val="%9."/>
      <w:lvlJc w:val="right"/>
      <w:pPr>
        <w:ind w:left="6125" w:hanging="180"/>
      </w:pPr>
      <w:rPr/>
    </w:lvl>
  </w:abstractNum>
  <w:abstractNum w:abstractNumId="7">
    <w:lvl w:ilvl="0">
      <w:start w:val="1"/>
      <w:numFmt w:val="lowerLetter"/>
      <w:lvlText w:val="%1."/>
      <w:lvlJc w:val="left"/>
      <w:pPr>
        <w:ind w:left="365" w:hanging="360"/>
      </w:pPr>
      <w:rPr/>
    </w:lvl>
    <w:lvl w:ilvl="1">
      <w:start w:val="1"/>
      <w:numFmt w:val="lowerLetter"/>
      <w:lvlText w:val="%2."/>
      <w:lvlJc w:val="left"/>
      <w:pPr>
        <w:ind w:left="1085" w:hanging="360"/>
      </w:pPr>
      <w:rPr/>
    </w:lvl>
    <w:lvl w:ilvl="2">
      <w:start w:val="1"/>
      <w:numFmt w:val="lowerRoman"/>
      <w:lvlText w:val="%3."/>
      <w:lvlJc w:val="right"/>
      <w:pPr>
        <w:ind w:left="1805" w:hanging="180"/>
      </w:pPr>
      <w:rPr/>
    </w:lvl>
    <w:lvl w:ilvl="3">
      <w:start w:val="1"/>
      <w:numFmt w:val="decimal"/>
      <w:lvlText w:val="%4."/>
      <w:lvlJc w:val="left"/>
      <w:pPr>
        <w:ind w:left="2525" w:hanging="360"/>
      </w:pPr>
      <w:rPr/>
    </w:lvl>
    <w:lvl w:ilvl="4">
      <w:start w:val="1"/>
      <w:numFmt w:val="lowerLetter"/>
      <w:lvlText w:val="%5."/>
      <w:lvlJc w:val="left"/>
      <w:pPr>
        <w:ind w:left="3245" w:hanging="360"/>
      </w:pPr>
      <w:rPr/>
    </w:lvl>
    <w:lvl w:ilvl="5">
      <w:start w:val="1"/>
      <w:numFmt w:val="lowerRoman"/>
      <w:lvlText w:val="%6."/>
      <w:lvlJc w:val="right"/>
      <w:pPr>
        <w:ind w:left="3965" w:hanging="180"/>
      </w:pPr>
      <w:rPr/>
    </w:lvl>
    <w:lvl w:ilvl="6">
      <w:start w:val="1"/>
      <w:numFmt w:val="decimal"/>
      <w:lvlText w:val="%7."/>
      <w:lvlJc w:val="left"/>
      <w:pPr>
        <w:ind w:left="4685" w:hanging="360"/>
      </w:pPr>
      <w:rPr/>
    </w:lvl>
    <w:lvl w:ilvl="7">
      <w:start w:val="1"/>
      <w:numFmt w:val="lowerLetter"/>
      <w:lvlText w:val="%8."/>
      <w:lvlJc w:val="left"/>
      <w:pPr>
        <w:ind w:left="5405" w:hanging="360"/>
      </w:pPr>
      <w:rPr/>
    </w:lvl>
    <w:lvl w:ilvl="8">
      <w:start w:val="1"/>
      <w:numFmt w:val="lowerRoman"/>
      <w:lvlText w:val="%9."/>
      <w:lvlJc w:val="right"/>
      <w:pPr>
        <w:ind w:left="6125" w:hanging="180"/>
      </w:pPr>
      <w:rPr/>
    </w:lvl>
  </w:abstractNum>
  <w:abstractNum w:abstractNumId="8">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lowerLetter"/>
      <w:lvlText w:val="%1."/>
      <w:lvlJc w:val="left"/>
      <w:pPr>
        <w:ind w:left="360" w:firstLine="0"/>
      </w:pPr>
      <w:rPr>
        <w:rFonts w:ascii="Times New Roman" w:cs="Times New Roman" w:eastAsia="Times New Roman" w:hAnsi="Times New Roman"/>
      </w:rPr>
    </w:lvl>
    <w:lvl w:ilvl="1">
      <w:start w:val="1"/>
      <w:numFmt w:val="decimal"/>
      <w:lvlText w:val="%2"/>
      <w:lvlJc w:val="left"/>
      <w:pPr>
        <w:ind w:left="1440" w:firstLine="0"/>
      </w:pPr>
      <w:rPr/>
    </w:lvl>
    <w:lvl w:ilvl="2">
      <w:start w:val="1"/>
      <w:numFmt w:val="upperLetter"/>
      <w:lvlText w:val="%3"/>
      <w:lvlJc w:val="left"/>
      <w:pPr>
        <w:ind w:left="2160" w:firstLine="0"/>
      </w:pPr>
      <w:rPr/>
    </w:lvl>
    <w:lvl w:ilvl="3">
      <w:start w:val="1"/>
      <w:numFmt w:val="decimal"/>
      <w:lvlText w:val="%4)"/>
      <w:lvlJc w:val="left"/>
      <w:pPr>
        <w:ind w:left="2880" w:firstLine="0"/>
      </w:pPr>
      <w:rPr/>
    </w:lvl>
    <w:lvl w:ilvl="4">
      <w:start w:val="1"/>
      <w:numFmt w:val="lowerLetter"/>
      <w:lvlText w:val="(%5)"/>
      <w:lvlJc w:val="left"/>
      <w:pPr>
        <w:ind w:left="3600" w:firstLine="0"/>
      </w:pPr>
      <w:rPr/>
    </w:lvl>
    <w:lvl w:ilvl="5">
      <w:start w:val="1"/>
      <w:numFmt w:val="decimal"/>
      <w:lvlText w:val="(%6)"/>
      <w:lvlJc w:val="left"/>
      <w:pPr>
        <w:ind w:left="4320" w:firstLine="0"/>
      </w:pPr>
      <w:rPr/>
    </w:lvl>
    <w:lvl w:ilvl="6">
      <w:start w:val="1"/>
      <w:numFmt w:val="lowerLetter"/>
      <w:lvlText w:val="(%7)"/>
      <w:lvlJc w:val="left"/>
      <w:pPr>
        <w:ind w:left="5040" w:firstLine="0"/>
      </w:pPr>
      <w:rPr/>
    </w:lvl>
    <w:lvl w:ilvl="7">
      <w:start w:val="1"/>
      <w:numFmt w:val="lowerRoman"/>
      <w:lvlText w:val="(%8)"/>
      <w:lvlJc w:val="left"/>
      <w:pPr>
        <w:ind w:left="5760" w:firstLine="0"/>
      </w:pPr>
      <w:rPr/>
    </w:lvl>
    <w:lvl w:ilvl="8">
      <w:start w:val="1"/>
      <w:numFmt w:val="lowerRoman"/>
      <w:lvlText w:val="(%9)"/>
      <w:lvlJc w:val="left"/>
      <w:pPr>
        <w:ind w:left="648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jc w:val="center"/>
    </w:pPr>
    <w:rPr>
      <w:rFonts w:ascii="Arial" w:cs="Arial" w:eastAsia="Arial" w:hAnsi="Arial"/>
      <w:b w:val="1"/>
      <w:sz w:val="28"/>
      <w:szCs w:val="28"/>
    </w:rPr>
  </w:style>
  <w:style w:type="paragraph" w:styleId="Normal" w:default="1">
    <w:name w:val="Normal"/>
    <w:qFormat w:val="1"/>
    <w:rsid w:val="004636B2"/>
    <w:rPr>
      <w:sz w:val="24"/>
      <w:szCs w:val="24"/>
    </w:rPr>
  </w:style>
  <w:style w:type="paragraph" w:styleId="Heading1">
    <w:name w:val="heading 1"/>
    <w:basedOn w:val="Normal"/>
    <w:next w:val="Normal"/>
    <w:qFormat w:val="1"/>
    <w:pPr>
      <w:keepNext w:val="1"/>
      <w:spacing w:after="60" w:before="240"/>
      <w:outlineLvl w:val="0"/>
    </w:pPr>
    <w:rPr>
      <w:rFonts w:ascii="Arial" w:cs="Arial" w:hAnsi="Arial"/>
      <w:b w:val="1"/>
      <w:bCs w:val="1"/>
      <w:kern w:val="32"/>
      <w:sz w:val="32"/>
      <w:szCs w:val="32"/>
    </w:rPr>
  </w:style>
  <w:style w:type="paragraph" w:styleId="Heading2">
    <w:name w:val="heading 2"/>
    <w:basedOn w:val="Normal"/>
    <w:next w:val="Normal"/>
    <w:qFormat w:val="1"/>
    <w:pPr>
      <w:keepNext w:val="1"/>
      <w:spacing w:after="60" w:before="240"/>
      <w:outlineLvl w:val="1"/>
    </w:pPr>
    <w:rPr>
      <w:rFonts w:ascii="Arial" w:cs="Arial" w:hAnsi="Arial"/>
      <w:b w:val="1"/>
      <w:bCs w:val="1"/>
      <w:i w:val="1"/>
      <w:iCs w:val="1"/>
      <w:sz w:val="28"/>
      <w:szCs w:val="28"/>
    </w:rPr>
  </w:style>
  <w:style w:type="paragraph" w:styleId="Heading3">
    <w:name w:val="heading 3"/>
    <w:basedOn w:val="Normal"/>
    <w:next w:val="Normal"/>
    <w:qFormat w:val="1"/>
    <w:pPr>
      <w:keepNext w:val="1"/>
      <w:spacing w:after="60" w:before="240"/>
      <w:outlineLvl w:val="2"/>
    </w:pPr>
    <w:rPr>
      <w:rFonts w:ascii="Arial" w:cs="Arial" w:hAnsi="Arial"/>
      <w:b w:val="1"/>
      <w:bCs w:val="1"/>
      <w:sz w:val="26"/>
      <w:szCs w:val="26"/>
    </w:rPr>
  </w:style>
  <w:style w:type="paragraph" w:styleId="Heading4">
    <w:name w:val="heading 4"/>
    <w:basedOn w:val="Normal"/>
    <w:next w:val="Normal"/>
    <w:qFormat w:val="1"/>
    <w:pPr>
      <w:keepNext w:val="1"/>
      <w:spacing w:after="60" w:before="240"/>
      <w:outlineLvl w:val="3"/>
    </w:pPr>
    <w:rPr>
      <w:b w:val="1"/>
      <w:bCs w:val="1"/>
      <w:sz w:val="28"/>
      <w:szCs w:val="28"/>
    </w:rPr>
  </w:style>
  <w:style w:type="paragraph" w:styleId="Heading5">
    <w:name w:val="heading 5"/>
    <w:basedOn w:val="Normal"/>
    <w:next w:val="Normal"/>
    <w:qFormat w:val="1"/>
    <w:pPr>
      <w:spacing w:after="60" w:before="240"/>
      <w:outlineLvl w:val="4"/>
    </w:pPr>
    <w:rPr>
      <w:b w:val="1"/>
      <w:bCs w:val="1"/>
      <w:i w:val="1"/>
      <w:iCs w:val="1"/>
      <w:sz w:val="26"/>
      <w:szCs w:val="26"/>
    </w:rPr>
  </w:style>
  <w:style w:type="paragraph" w:styleId="Heading6">
    <w:name w:val="heading 6"/>
    <w:basedOn w:val="Normal"/>
    <w:next w:val="Normal"/>
    <w:qFormat w:val="1"/>
    <w:pPr>
      <w:spacing w:after="60" w:before="240"/>
      <w:outlineLvl w:val="5"/>
    </w:pPr>
    <w:rPr>
      <w:b w:val="1"/>
      <w:bCs w:val="1"/>
      <w:sz w:val="22"/>
      <w:szCs w:val="22"/>
    </w:rPr>
  </w:style>
  <w:style w:type="paragraph" w:styleId="Heading7">
    <w:name w:val="heading 7"/>
    <w:basedOn w:val="Normal"/>
    <w:next w:val="Normal"/>
    <w:qFormat w:val="1"/>
    <w:pPr>
      <w:spacing w:after="60" w:before="240"/>
      <w:outlineLvl w:val="6"/>
    </w:pPr>
  </w:style>
  <w:style w:type="paragraph" w:styleId="Heading8">
    <w:name w:val="heading 8"/>
    <w:basedOn w:val="Normal"/>
    <w:next w:val="Normal"/>
    <w:qFormat w:val="1"/>
    <w:pPr>
      <w:spacing w:after="60" w:before="240"/>
      <w:outlineLvl w:val="7"/>
    </w:pPr>
    <w:rPr>
      <w:i w:val="1"/>
      <w:iCs w:val="1"/>
    </w:rPr>
  </w:style>
  <w:style w:type="paragraph" w:styleId="Heading9">
    <w:name w:val="heading 9"/>
    <w:basedOn w:val="Normal"/>
    <w:next w:val="Normal"/>
    <w:qFormat w:val="1"/>
    <w:pPr>
      <w:spacing w:after="60" w:before="240"/>
      <w:outlineLvl w:val="8"/>
    </w:pPr>
    <w:rPr>
      <w:rFonts w:ascii="Arial" w:cs="Arial" w:hAnsi="Arial"/>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pPr>
    <w:rPr>
      <w:sz w:val="20"/>
    </w:rPr>
  </w:style>
  <w:style w:type="paragraph" w:styleId="Level1" w:customStyle="1">
    <w:name w:val="Level 1"/>
    <w:basedOn w:val="Header"/>
    <w:pPr>
      <w:numPr>
        <w:numId w:val="1"/>
      </w:numPr>
    </w:pPr>
  </w:style>
  <w:style w:type="paragraph" w:styleId="BodyText">
    <w:name w:val="Body Text"/>
    <w:basedOn w:val="Normal"/>
    <w:pPr>
      <w:overflowPunct w:val="0"/>
      <w:autoSpaceDE w:val="0"/>
      <w:autoSpaceDN w:val="0"/>
      <w:adjustRightInd w:val="0"/>
      <w:textAlignment w:val="baseline"/>
    </w:pPr>
    <w:rPr>
      <w:b w:val="1"/>
      <w:szCs w:val="20"/>
    </w:rPr>
  </w:style>
  <w:style w:type="paragraph" w:styleId="Title">
    <w:name w:val="Title"/>
    <w:basedOn w:val="Normal"/>
    <w:qFormat w:val="1"/>
    <w:pPr>
      <w:overflowPunct w:val="0"/>
      <w:autoSpaceDE w:val="0"/>
      <w:autoSpaceDN w:val="0"/>
      <w:adjustRightInd w:val="0"/>
      <w:jc w:val="center"/>
      <w:textAlignment w:val="baseline"/>
    </w:pPr>
    <w:rPr>
      <w:rFonts w:ascii="Arial" w:hAnsi="Arial"/>
      <w:b w:val="1"/>
      <w:sz w:val="28"/>
      <w:szCs w:val="20"/>
    </w:rPr>
  </w:style>
  <w:style w:type="character" w:styleId="Hyperlink">
    <w:name w:val="Hyperlink"/>
    <w:rPr>
      <w:color w:val="0000ff"/>
      <w:u w:val="single"/>
    </w:rPr>
  </w:style>
  <w:style w:type="paragraph" w:styleId="BodyTextIndent2">
    <w:name w:val="Body Text Indent 2"/>
    <w:basedOn w:val="Normal"/>
    <w:pPr>
      <w:widowControl w:val="0"/>
      <w:overflowPunct w:val="0"/>
      <w:autoSpaceDE w:val="0"/>
      <w:autoSpaceDN w:val="0"/>
      <w:adjustRightInd w:val="0"/>
      <w:ind w:left="720"/>
      <w:textAlignment w:val="baseline"/>
    </w:pPr>
    <w:rPr>
      <w:szCs w:val="20"/>
    </w:rPr>
  </w:style>
  <w:style w:type="paragraph" w:styleId="BodyText2">
    <w:name w:val="Body Text 2"/>
    <w:basedOn w:val="Normal"/>
    <w:pPr>
      <w:widowControl w:val="0"/>
      <w:overflowPunct w:val="0"/>
      <w:autoSpaceDE w:val="0"/>
      <w:autoSpaceDN w:val="0"/>
      <w:adjustRightInd w:val="0"/>
      <w:ind w:left="720" w:hanging="720"/>
      <w:textAlignment w:val="baseline"/>
    </w:pPr>
    <w:rPr>
      <w:szCs w:val="20"/>
    </w:rPr>
  </w:style>
  <w:style w:type="paragraph" w:styleId="BodyTextIndent3">
    <w:name w:val="Body Text Indent 3"/>
    <w:basedOn w:val="Normal"/>
    <w:pPr>
      <w:ind w:left="5"/>
    </w:pPr>
  </w:style>
  <w:style w:type="character" w:styleId="FollowedHyperlink">
    <w:name w:val="FollowedHyperlink"/>
    <w:rPr>
      <w:color w:val="800080"/>
      <w:u w:val="single"/>
    </w:rPr>
  </w:style>
  <w:style w:type="paragraph" w:styleId="BalloonText">
    <w:name w:val="Balloon Text"/>
    <w:basedOn w:val="Normal"/>
    <w:semiHidden w:val="1"/>
    <w:rsid w:val="00AD5F51"/>
    <w:rPr>
      <w:rFonts w:ascii="Tahoma" w:cs="Tahoma" w:hAnsi="Tahoma"/>
      <w:sz w:val="16"/>
      <w:szCs w:val="16"/>
    </w:rPr>
  </w:style>
  <w:style w:type="character" w:styleId="CommentReference">
    <w:name w:val="annotation reference"/>
    <w:uiPriority w:val="99"/>
    <w:rsid w:val="00461CA9"/>
    <w:rPr>
      <w:sz w:val="16"/>
      <w:szCs w:val="16"/>
    </w:rPr>
  </w:style>
  <w:style w:type="paragraph" w:styleId="CommentText">
    <w:name w:val="annotation text"/>
    <w:basedOn w:val="Normal"/>
    <w:link w:val="CommentTextChar"/>
    <w:uiPriority w:val="99"/>
    <w:rsid w:val="00461CA9"/>
    <w:rPr>
      <w:sz w:val="20"/>
      <w:szCs w:val="20"/>
    </w:rPr>
  </w:style>
  <w:style w:type="character" w:styleId="CommentTextChar" w:customStyle="1">
    <w:name w:val="Comment Text Char"/>
    <w:basedOn w:val="DefaultParagraphFont"/>
    <w:link w:val="CommentText"/>
    <w:uiPriority w:val="99"/>
    <w:rsid w:val="00461CA9"/>
  </w:style>
  <w:style w:type="paragraph" w:styleId="CommentSubject">
    <w:name w:val="annotation subject"/>
    <w:basedOn w:val="CommentText"/>
    <w:next w:val="CommentText"/>
    <w:link w:val="CommentSubjectChar"/>
    <w:rsid w:val="00461CA9"/>
    <w:rPr>
      <w:b w:val="1"/>
      <w:bCs w:val="1"/>
      <w:lang w:eastAsia="x-none" w:val="x-none"/>
    </w:rPr>
  </w:style>
  <w:style w:type="character" w:styleId="CommentSubjectChar" w:customStyle="1">
    <w:name w:val="Comment Subject Char"/>
    <w:link w:val="CommentSubject"/>
    <w:rsid w:val="00461CA9"/>
    <w:rPr>
      <w:b w:val="1"/>
      <w:bCs w:val="1"/>
    </w:rPr>
  </w:style>
  <w:style w:type="paragraph" w:styleId="Revision">
    <w:name w:val="Revision"/>
    <w:hidden w:val="1"/>
    <w:uiPriority w:val="99"/>
    <w:semiHidden w:val="1"/>
    <w:rsid w:val="00461CA9"/>
    <w:rPr>
      <w:sz w:val="24"/>
      <w:szCs w:val="24"/>
    </w:rPr>
  </w:style>
  <w:style w:type="character" w:styleId="Emphasis">
    <w:name w:val="Emphasis"/>
    <w:uiPriority w:val="20"/>
    <w:qFormat w:val="1"/>
    <w:rsid w:val="00EB2290"/>
    <w:rPr>
      <w:i w:val="1"/>
      <w:iCs w:val="1"/>
    </w:rPr>
  </w:style>
  <w:style w:type="paragraph" w:styleId="NormalWeb">
    <w:name w:val="Normal (Web)"/>
    <w:basedOn w:val="Normal"/>
    <w:rsid w:val="008B7618"/>
  </w:style>
  <w:style w:type="character" w:styleId="BodyTextIndentChar" w:customStyle="1">
    <w:name w:val="Body Text Indent Char"/>
    <w:link w:val="BodyTextIndent"/>
    <w:rsid w:val="0053767B"/>
    <w:rPr>
      <w:szCs w:val="24"/>
    </w:rPr>
  </w:style>
  <w:style w:type="character" w:styleId="HeaderChar" w:customStyle="1">
    <w:name w:val="Header Char"/>
    <w:link w:val="Header"/>
    <w:rsid w:val="00591FE9"/>
    <w:rPr>
      <w:sz w:val="24"/>
      <w:szCs w:val="24"/>
    </w:rPr>
  </w:style>
  <w:style w:type="paragraph" w:styleId="ListParagraph">
    <w:name w:val="List Paragraph"/>
    <w:basedOn w:val="Normal"/>
    <w:uiPriority w:val="34"/>
    <w:qFormat w:val="1"/>
    <w:rsid w:val="00BD3AA7"/>
    <w:pPr>
      <w:ind w:left="720"/>
      <w:contextualSpacing w:val="1"/>
    </w:pPr>
  </w:style>
  <w:style w:type="table" w:styleId="TableGrid">
    <w:name w:val="Table Grid"/>
    <w:basedOn w:val="TableNormal"/>
    <w:uiPriority w:val="59"/>
    <w:rsid w:val="00F27F7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unhideWhenUsed w:val="1"/>
    <w:rsid w:val="00513139"/>
    <w:rPr>
      <w:sz w:val="20"/>
      <w:szCs w:val="20"/>
    </w:rPr>
  </w:style>
  <w:style w:type="character" w:styleId="FootnoteTextChar" w:customStyle="1">
    <w:name w:val="Footnote Text Char"/>
    <w:basedOn w:val="DefaultParagraphFont"/>
    <w:link w:val="FootnoteText"/>
    <w:uiPriority w:val="99"/>
    <w:rsid w:val="00513139"/>
  </w:style>
  <w:style w:type="character" w:styleId="FootnoteReference">
    <w:name w:val="footnote reference"/>
    <w:basedOn w:val="DefaultParagraphFont"/>
    <w:uiPriority w:val="99"/>
    <w:unhideWhenUsed w:val="1"/>
    <w:rsid w:val="00513139"/>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 w:type="table" w:styleId="Table36">
    <w:basedOn w:val="TableNormal"/>
    <w:tblPr>
      <w:tblStyleRowBandSize w:val="1"/>
      <w:tblStyleColBandSize w:val="1"/>
      <w:tblCellMar>
        <w:top w:w="0.0" w:type="dxa"/>
        <w:left w:w="0.0" w:type="dxa"/>
        <w:bottom w:w="0.0" w:type="dxa"/>
        <w:right w:w="0.0" w:type="dxa"/>
      </w:tblCellMar>
    </w:tblPr>
  </w:style>
  <w:style w:type="table" w:styleId="Table37">
    <w:basedOn w:val="TableNormal"/>
    <w:tblPr>
      <w:tblStyleRowBandSize w:val="1"/>
      <w:tblStyleColBandSize w:val="1"/>
      <w:tblCellMar>
        <w:top w:w="0.0" w:type="dxa"/>
        <w:left w:w="0.0" w:type="dxa"/>
        <w:bottom w:w="0.0" w:type="dxa"/>
        <w:right w:w="0.0" w:type="dxa"/>
      </w:tblCellMar>
    </w:tblPr>
  </w:style>
  <w:style w:type="table" w:styleId="Table38">
    <w:basedOn w:val="TableNormal"/>
    <w:tblPr>
      <w:tblStyleRowBandSize w:val="1"/>
      <w:tblStyleColBandSize w:val="1"/>
      <w:tblCellMar>
        <w:top w:w="0.0" w:type="dxa"/>
        <w:left w:w="0.0" w:type="dxa"/>
        <w:bottom w:w="0.0" w:type="dxa"/>
        <w:right w:w="0.0" w:type="dxa"/>
      </w:tblCellMar>
    </w:tblPr>
  </w:style>
  <w:style w:type="table" w:styleId="Table39">
    <w:basedOn w:val="TableNormal"/>
    <w:tblPr>
      <w:tblStyleRowBandSize w:val="1"/>
      <w:tblStyleColBandSize w:val="1"/>
      <w:tblCellMar>
        <w:top w:w="0.0" w:type="dxa"/>
        <w:left w:w="0.0" w:type="dxa"/>
        <w:bottom w:w="0.0" w:type="dxa"/>
        <w:right w:w="0.0" w:type="dxa"/>
      </w:tblCellMar>
    </w:tblPr>
  </w:style>
  <w:style w:type="table" w:styleId="Table40">
    <w:basedOn w:val="TableNormal"/>
    <w:tblPr>
      <w:tblStyleRowBandSize w:val="1"/>
      <w:tblStyleColBandSize w:val="1"/>
      <w:tblCellMar>
        <w:top w:w="0.0" w:type="dxa"/>
        <w:left w:w="0.0" w:type="dxa"/>
        <w:bottom w:w="0.0" w:type="dxa"/>
        <w:right w:w="0.0" w:type="dxa"/>
      </w:tblCellMar>
    </w:tblPr>
  </w:style>
  <w:style w:type="table" w:styleId="Table41">
    <w:basedOn w:val="TableNormal"/>
    <w:tblPr>
      <w:tblStyleRowBandSize w:val="1"/>
      <w:tblStyleColBandSize w:val="1"/>
      <w:tblCellMar>
        <w:top w:w="0.0" w:type="dxa"/>
        <w:left w:w="0.0" w:type="dxa"/>
        <w:bottom w:w="0.0" w:type="dxa"/>
        <w:right w:w="0.0" w:type="dxa"/>
      </w:tblCellMar>
    </w:tblPr>
  </w:style>
  <w:style w:type="table" w:styleId="Table42">
    <w:basedOn w:val="TableNormal"/>
    <w:tblPr>
      <w:tblStyleRowBandSize w:val="1"/>
      <w:tblStyleColBandSize w:val="1"/>
      <w:tblCellMar>
        <w:top w:w="0.0" w:type="dxa"/>
        <w:left w:w="0.0" w:type="dxa"/>
        <w:bottom w:w="0.0" w:type="dxa"/>
        <w:right w:w="0.0" w:type="dxa"/>
      </w:tblCellMar>
    </w:tblPr>
  </w:style>
  <w:style w:type="table" w:styleId="Table43">
    <w:basedOn w:val="TableNormal"/>
    <w:tblPr>
      <w:tblStyleRowBandSize w:val="1"/>
      <w:tblStyleColBandSize w:val="1"/>
      <w:tblCellMar>
        <w:top w:w="0.0" w:type="dxa"/>
        <w:left w:w="0.0" w:type="dxa"/>
        <w:bottom w:w="0.0" w:type="dxa"/>
        <w:right w:w="0.0" w:type="dxa"/>
      </w:tblCellMar>
    </w:tblPr>
  </w:style>
  <w:style w:type="table" w:styleId="Table44">
    <w:basedOn w:val="TableNormal"/>
    <w:tblPr>
      <w:tblStyleRowBandSize w:val="1"/>
      <w:tblStyleColBandSize w:val="1"/>
      <w:tblCellMar>
        <w:top w:w="0.0" w:type="dxa"/>
        <w:left w:w="0.0" w:type="dxa"/>
        <w:bottom w:w="0.0" w:type="dxa"/>
        <w:right w:w="0.0" w:type="dxa"/>
      </w:tblCellMar>
    </w:tblPr>
  </w:style>
  <w:style w:type="table" w:styleId="Table45">
    <w:basedOn w:val="TableNormal"/>
    <w:tblPr>
      <w:tblStyleRowBandSize w:val="1"/>
      <w:tblStyleColBandSize w:val="1"/>
      <w:tblCellMar>
        <w:top w:w="0.0" w:type="dxa"/>
        <w:left w:w="0.0" w:type="dxa"/>
        <w:bottom w:w="0.0" w:type="dxa"/>
        <w:right w:w="0.0" w:type="dxa"/>
      </w:tblCellMar>
    </w:tblPr>
  </w:style>
  <w:style w:type="table" w:styleId="Table46">
    <w:basedOn w:val="TableNormal"/>
    <w:tblPr>
      <w:tblStyleRowBandSize w:val="1"/>
      <w:tblStyleColBandSize w:val="1"/>
      <w:tblCellMar>
        <w:top w:w="0.0" w:type="dxa"/>
        <w:left w:w="0.0" w:type="dxa"/>
        <w:bottom w:w="0.0" w:type="dxa"/>
        <w:right w:w="0.0" w:type="dxa"/>
      </w:tblCellMar>
    </w:tblPr>
  </w:style>
  <w:style w:type="table" w:styleId="Table47">
    <w:basedOn w:val="TableNormal"/>
    <w:tblPr>
      <w:tblStyleRowBandSize w:val="1"/>
      <w:tblStyleColBandSize w:val="1"/>
      <w:tblCellMar>
        <w:top w:w="0.0" w:type="dxa"/>
        <w:left w:w="0.0" w:type="dxa"/>
        <w:bottom w:w="0.0" w:type="dxa"/>
        <w:right w:w="0.0" w:type="dxa"/>
      </w:tblCellMar>
    </w:tblPr>
  </w:style>
  <w:style w:type="table" w:styleId="Table48">
    <w:basedOn w:val="TableNormal"/>
    <w:tblPr>
      <w:tblStyleRowBandSize w:val="1"/>
      <w:tblStyleColBandSize w:val="1"/>
      <w:tblCellMar>
        <w:top w:w="0.0" w:type="dxa"/>
        <w:left w:w="0.0" w:type="dxa"/>
        <w:bottom w:w="0.0" w:type="dxa"/>
        <w:right w:w="0.0" w:type="dxa"/>
      </w:tblCellMar>
    </w:tblPr>
  </w:style>
  <w:style w:type="table" w:styleId="Table49">
    <w:basedOn w:val="TableNormal"/>
    <w:tblPr>
      <w:tblStyleRowBandSize w:val="1"/>
      <w:tblStyleColBandSize w:val="1"/>
      <w:tblCellMar>
        <w:top w:w="0.0" w:type="dxa"/>
        <w:left w:w="0.0" w:type="dxa"/>
        <w:bottom w:w="0.0" w:type="dxa"/>
        <w:right w:w="0.0" w:type="dxa"/>
      </w:tblCellMar>
    </w:tblPr>
  </w:style>
  <w:style w:type="table" w:styleId="Table50">
    <w:basedOn w:val="TableNormal"/>
    <w:tblPr>
      <w:tblStyleRowBandSize w:val="1"/>
      <w:tblStyleColBandSize w:val="1"/>
      <w:tblCellMar>
        <w:top w:w="0.0" w:type="dxa"/>
        <w:left w:w="0.0" w:type="dxa"/>
        <w:bottom w:w="0.0" w:type="dxa"/>
        <w:right w:w="0.0" w:type="dxa"/>
      </w:tblCellMar>
    </w:tblPr>
  </w:style>
  <w:style w:type="table" w:styleId="Table51">
    <w:basedOn w:val="TableNormal"/>
    <w:tblPr>
      <w:tblStyleRowBandSize w:val="1"/>
      <w:tblStyleColBandSize w:val="1"/>
      <w:tblCellMar>
        <w:top w:w="0.0" w:type="dxa"/>
        <w:left w:w="0.0" w:type="dxa"/>
        <w:bottom w:w="0.0" w:type="dxa"/>
        <w:right w:w="0.0" w:type="dxa"/>
      </w:tblCellMar>
    </w:tblPr>
  </w:style>
  <w:style w:type="table" w:styleId="Table52">
    <w:basedOn w:val="TableNormal"/>
    <w:tblPr>
      <w:tblStyleRowBandSize w:val="1"/>
      <w:tblStyleColBandSize w:val="1"/>
      <w:tblCellMar>
        <w:top w:w="0.0" w:type="dxa"/>
        <w:left w:w="0.0" w:type="dxa"/>
        <w:bottom w:w="0.0" w:type="dxa"/>
        <w:right w:w="0.0" w:type="dxa"/>
      </w:tblCellMar>
    </w:tblPr>
  </w:style>
  <w:style w:type="table" w:styleId="Table53">
    <w:basedOn w:val="TableNormal"/>
    <w:tblPr>
      <w:tblStyleRowBandSize w:val="1"/>
      <w:tblStyleColBandSize w:val="1"/>
      <w:tblCellMar>
        <w:top w:w="0.0" w:type="dxa"/>
        <w:left w:w="0.0" w:type="dxa"/>
        <w:bottom w:w="0.0" w:type="dxa"/>
        <w:right w:w="0.0" w:type="dxa"/>
      </w:tblCellMar>
    </w:tblPr>
  </w:style>
  <w:style w:type="table" w:styleId="Table54">
    <w:basedOn w:val="TableNormal"/>
    <w:tblPr>
      <w:tblStyleRowBandSize w:val="1"/>
      <w:tblStyleColBandSize w:val="1"/>
      <w:tblCellMar>
        <w:top w:w="0.0" w:type="dxa"/>
        <w:left w:w="0.0" w:type="dxa"/>
        <w:bottom w:w="0.0" w:type="dxa"/>
        <w:right w:w="0.0" w:type="dxa"/>
      </w:tblCellMar>
    </w:tblPr>
  </w:style>
  <w:style w:type="table" w:styleId="Table55">
    <w:basedOn w:val="TableNormal"/>
    <w:tblPr>
      <w:tblStyleRowBandSize w:val="1"/>
      <w:tblStyleColBandSize w:val="1"/>
      <w:tblCellMar>
        <w:top w:w="0.0" w:type="dxa"/>
        <w:left w:w="0.0" w:type="dxa"/>
        <w:bottom w:w="0.0" w:type="dxa"/>
        <w:right w:w="0.0" w:type="dxa"/>
      </w:tblCellMar>
    </w:tblPr>
  </w:style>
  <w:style w:type="table" w:styleId="Table56">
    <w:basedOn w:val="TableNormal"/>
    <w:tblPr>
      <w:tblStyleRowBandSize w:val="1"/>
      <w:tblStyleColBandSize w:val="1"/>
      <w:tblCellMar>
        <w:top w:w="0.0" w:type="dxa"/>
        <w:left w:w="0.0" w:type="dxa"/>
        <w:bottom w:w="0.0" w:type="dxa"/>
        <w:right w:w="0.0" w:type="dxa"/>
      </w:tblCellMar>
    </w:tblPr>
  </w:style>
  <w:style w:type="table" w:styleId="Table57">
    <w:basedOn w:val="TableNormal"/>
    <w:tblPr>
      <w:tblStyleRowBandSize w:val="1"/>
      <w:tblStyleColBandSize w:val="1"/>
      <w:tblCellMar>
        <w:top w:w="0.0" w:type="dxa"/>
        <w:left w:w="0.0" w:type="dxa"/>
        <w:bottom w:w="0.0" w:type="dxa"/>
        <w:right w:w="0.0" w:type="dxa"/>
      </w:tblCellMar>
    </w:tblPr>
  </w:style>
  <w:style w:type="table" w:styleId="Table58">
    <w:basedOn w:val="TableNormal"/>
    <w:tblPr>
      <w:tblStyleRowBandSize w:val="1"/>
      <w:tblStyleColBandSize w:val="1"/>
      <w:tblCellMar>
        <w:top w:w="0.0" w:type="dxa"/>
        <w:left w:w="0.0" w:type="dxa"/>
        <w:bottom w:w="0.0" w:type="dxa"/>
        <w:right w:w="0.0" w:type="dxa"/>
      </w:tblCellMar>
    </w:tblPr>
  </w:style>
  <w:style w:type="table" w:styleId="Table59">
    <w:basedOn w:val="TableNormal"/>
    <w:tblPr>
      <w:tblStyleRowBandSize w:val="1"/>
      <w:tblStyleColBandSize w:val="1"/>
      <w:tblCellMar>
        <w:top w:w="0.0" w:type="dxa"/>
        <w:left w:w="0.0" w:type="dxa"/>
        <w:bottom w:w="0.0" w:type="dxa"/>
        <w:right w:w="0.0" w:type="dxa"/>
      </w:tblCellMar>
    </w:tblPr>
  </w:style>
  <w:style w:type="table" w:styleId="Table60">
    <w:basedOn w:val="TableNormal"/>
    <w:tblPr>
      <w:tblStyleRowBandSize w:val="1"/>
      <w:tblStyleColBandSize w:val="1"/>
      <w:tblCellMar>
        <w:top w:w="0.0" w:type="dxa"/>
        <w:left w:w="0.0" w:type="dxa"/>
        <w:bottom w:w="0.0" w:type="dxa"/>
        <w:right w:w="0.0" w:type="dxa"/>
      </w:tblCellMar>
    </w:tblPr>
  </w:style>
  <w:style w:type="table" w:styleId="Table61">
    <w:basedOn w:val="TableNormal"/>
    <w:tblPr>
      <w:tblStyleRowBandSize w:val="1"/>
      <w:tblStyleColBandSize w:val="1"/>
      <w:tblCellMar>
        <w:top w:w="0.0" w:type="dxa"/>
        <w:left w:w="0.0" w:type="dxa"/>
        <w:bottom w:w="0.0" w:type="dxa"/>
        <w:right w:w="0.0" w:type="dxa"/>
      </w:tblCellMar>
    </w:tblPr>
  </w:style>
  <w:style w:type="table" w:styleId="Table62">
    <w:basedOn w:val="TableNormal"/>
    <w:tblPr>
      <w:tblStyleRowBandSize w:val="1"/>
      <w:tblStyleColBandSize w:val="1"/>
      <w:tblCellMar>
        <w:top w:w="0.0" w:type="dxa"/>
        <w:left w:w="0.0" w:type="dxa"/>
        <w:bottom w:w="0.0" w:type="dxa"/>
        <w:right w:w="0.0" w:type="dxa"/>
      </w:tblCellMar>
    </w:tblPr>
  </w:style>
  <w:style w:type="table" w:styleId="Table63">
    <w:basedOn w:val="TableNormal"/>
    <w:tblPr>
      <w:tblStyleRowBandSize w:val="1"/>
      <w:tblStyleColBandSize w:val="1"/>
      <w:tblCellMar>
        <w:top w:w="0.0" w:type="dxa"/>
        <w:left w:w="0.0" w:type="dxa"/>
        <w:bottom w:w="0.0" w:type="dxa"/>
        <w:right w:w="0.0" w:type="dxa"/>
      </w:tblCellMar>
    </w:tblPr>
  </w:style>
  <w:style w:type="table" w:styleId="Table64">
    <w:basedOn w:val="TableNormal"/>
    <w:tblPr>
      <w:tblStyleRowBandSize w:val="1"/>
      <w:tblStyleColBandSize w:val="1"/>
      <w:tblCellMar>
        <w:top w:w="0.0" w:type="dxa"/>
        <w:left w:w="0.0" w:type="dxa"/>
        <w:bottom w:w="0.0" w:type="dxa"/>
        <w:right w:w="0.0" w:type="dxa"/>
      </w:tblCellMar>
    </w:tblPr>
  </w:style>
  <w:style w:type="table" w:styleId="Table65">
    <w:basedOn w:val="TableNormal"/>
    <w:tblPr>
      <w:tblStyleRowBandSize w:val="1"/>
      <w:tblStyleColBandSize w:val="1"/>
      <w:tblCellMar>
        <w:top w:w="0.0" w:type="dxa"/>
        <w:left w:w="0.0" w:type="dxa"/>
        <w:bottom w:w="0.0" w:type="dxa"/>
        <w:right w:w="0.0" w:type="dxa"/>
      </w:tblCellMar>
    </w:tblPr>
  </w:style>
  <w:style w:type="table" w:styleId="Table66">
    <w:basedOn w:val="TableNormal"/>
    <w:tblPr>
      <w:tblStyleRowBandSize w:val="1"/>
      <w:tblStyleColBandSize w:val="1"/>
      <w:tblCellMar>
        <w:top w:w="0.0" w:type="dxa"/>
        <w:left w:w="0.0" w:type="dxa"/>
        <w:bottom w:w="0.0" w:type="dxa"/>
        <w:right w:w="0.0" w:type="dxa"/>
      </w:tblCellMar>
    </w:tblPr>
  </w:style>
  <w:style w:type="table" w:styleId="Table67">
    <w:basedOn w:val="TableNormal"/>
    <w:tblPr>
      <w:tblStyleRowBandSize w:val="1"/>
      <w:tblStyleColBandSize w:val="1"/>
      <w:tblCellMar>
        <w:top w:w="0.0" w:type="dxa"/>
        <w:left w:w="0.0" w:type="dxa"/>
        <w:bottom w:w="0.0" w:type="dxa"/>
        <w:right w:w="0.0" w:type="dxa"/>
      </w:tblCellMar>
    </w:tblPr>
  </w:style>
  <w:style w:type="table" w:styleId="Table68">
    <w:basedOn w:val="TableNormal"/>
    <w:tblPr>
      <w:tblStyleRowBandSize w:val="1"/>
      <w:tblStyleColBandSize w:val="1"/>
      <w:tblCellMar>
        <w:top w:w="0.0" w:type="dxa"/>
        <w:left w:w="0.0" w:type="dxa"/>
        <w:bottom w:w="0.0" w:type="dxa"/>
        <w:right w:w="0.0" w:type="dxa"/>
      </w:tblCellMar>
    </w:tblPr>
  </w:style>
  <w:style w:type="table" w:styleId="Table69">
    <w:basedOn w:val="TableNormal"/>
    <w:tblPr>
      <w:tblStyleRowBandSize w:val="1"/>
      <w:tblStyleColBandSize w:val="1"/>
      <w:tblCellMar>
        <w:top w:w="0.0" w:type="dxa"/>
        <w:left w:w="0.0" w:type="dxa"/>
        <w:bottom w:w="0.0" w:type="dxa"/>
        <w:right w:w="0.0" w:type="dxa"/>
      </w:tblCellMar>
    </w:tblPr>
  </w:style>
  <w:style w:type="table" w:styleId="Table7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4vO31E145rTwFp38ztsUPUSPVg==">AMUW2mVAJ7fIDPvRq0WsjocuGIwyvcNJzV7tbEvZYRTmgRv1efAugcai9lfUoJaMD9bfBAdJfssU2rsTYYkR35IQp3+v4WvPc0wBHkGL+XeKn+fRaLO9ASHcHBLKblMb393lUbjpLR5GUEdlJAz23AxdizzqUHF3rX9H0WTSaadx39QQs/joWEN7BqLRhbHQvMDlpT8X5ogL7rR4dYTBozpBAlslU5RrUeRzmeqrmP7ZHpwy8QOjl84=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2022-06-21T02:02:00Z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0x0101006A501C99A6C2414995D3D4F2513DF375</vt:lpwstr>
  </property>
  <property fmtid="{D5CDD505-2E9C-101B-9397-08002B2CF9AE}" pid="3" name="_dlc_DocIdItemGuid">
    <vt:lpwstr>2972dbe3-80e8-4641-b14b-f0827e13bd29</vt:lpwstr>
  </property>
  <property fmtid="{D5CDD505-2E9C-101B-9397-08002B2CF9AE}" pid="4" name="_NewReviewCycle">
    <vt:lpwstr/>
  </property>
</Properties>
</file>